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tabs>
          <w:tab w:leader="none" w:pos="426" w:val="left"/>
        </w:tabs>
        <w:spacing w:after="0" w:line="240" w:lineRule="auto"/>
        <w:ind w:firstLine="0" w:left="5103"/>
      </w:pPr>
      <w:r>
        <w:rPr>
          <w:rFonts w:ascii="Times New Roman" w:hAnsi="Times New Roman"/>
          <w:sz w:val="28"/>
        </w:rPr>
        <w:t>Приложение</w:t>
      </w:r>
      <w:r>
        <w:rPr>
          <w:rFonts w:ascii="Times New Roman" w:hAnsi="Times New Roman"/>
          <w:sz w:val="28"/>
        </w:rPr>
        <w:t xml:space="preserve">  </w:t>
      </w:r>
    </w:p>
    <w:p w14:paraId="05000000">
      <w:pPr>
        <w:spacing w:after="0" w:line="240" w:lineRule="auto"/>
        <w:ind w:firstLine="0" w:left="5103"/>
      </w:pPr>
      <w:r>
        <w:rPr>
          <w:rFonts w:ascii="Times New Roman" w:hAnsi="Times New Roman"/>
          <w:sz w:val="28"/>
        </w:rPr>
        <w:t>к решению Совета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           </w:t>
      </w:r>
    </w:p>
    <w:p w14:paraId="06000000">
      <w:pPr>
        <w:spacing w:after="0" w:line="240" w:lineRule="auto"/>
        <w:ind w:firstLine="0" w:left="5103"/>
      </w:pP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>униципального образования</w:t>
      </w:r>
    </w:p>
    <w:p w14:paraId="07000000">
      <w:pPr>
        <w:spacing w:after="0" w:line="240" w:lineRule="auto"/>
        <w:ind w:firstLine="0" w:left="5103"/>
      </w:pPr>
      <w:r>
        <w:rPr>
          <w:rFonts w:ascii="Times New Roman" w:hAnsi="Times New Roman"/>
          <w:sz w:val="28"/>
        </w:rPr>
        <w:t xml:space="preserve">Туапсинский </w:t>
      </w:r>
      <w:r>
        <w:rPr>
          <w:rFonts w:ascii="Times New Roman" w:hAnsi="Times New Roman"/>
          <w:sz w:val="28"/>
        </w:rPr>
        <w:t>муниципальный округ Краснодарского края</w:t>
      </w:r>
    </w:p>
    <w:p w14:paraId="08000000">
      <w:pPr>
        <w:spacing w:after="0" w:line="240" w:lineRule="auto"/>
        <w:ind w:firstLine="0"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__________________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_________</w:t>
      </w:r>
    </w:p>
    <w:p w14:paraId="09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B000000">
      <w:pPr>
        <w:spacing w:after="0" w:line="240" w:lineRule="auto"/>
        <w:ind/>
        <w:jc w:val="center"/>
      </w:pPr>
      <w:r>
        <w:rPr>
          <w:rFonts w:ascii="Times New Roman" w:hAnsi="Times New Roman"/>
          <w:b w:val="1"/>
          <w:sz w:val="28"/>
        </w:rPr>
        <w:t>ОТЧЕТ</w:t>
      </w:r>
    </w:p>
    <w:p w14:paraId="0C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 деятельности Контрольно-счётной палаты </w:t>
      </w:r>
    </w:p>
    <w:p w14:paraId="0D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муниципального образования </w:t>
      </w:r>
    </w:p>
    <w:p w14:paraId="0E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Туапсинский </w:t>
      </w:r>
      <w:r>
        <w:rPr>
          <w:rFonts w:ascii="Times New Roman" w:hAnsi="Times New Roman"/>
          <w:b w:val="1"/>
          <w:sz w:val="28"/>
        </w:rPr>
        <w:t>муниципальный округ</w:t>
      </w:r>
    </w:p>
    <w:p w14:paraId="0F000000">
      <w:pPr>
        <w:spacing w:after="0" w:line="240" w:lineRule="auto"/>
        <w:ind/>
        <w:jc w:val="center"/>
      </w:pPr>
      <w:r>
        <w:rPr>
          <w:rFonts w:ascii="Times New Roman" w:hAnsi="Times New Roman"/>
          <w:b w:val="1"/>
          <w:sz w:val="28"/>
        </w:rPr>
        <w:t xml:space="preserve"> Краснодарского края </w:t>
      </w:r>
      <w:r>
        <w:rPr>
          <w:rFonts w:ascii="Times New Roman" w:hAnsi="Times New Roman"/>
          <w:b w:val="1"/>
          <w:sz w:val="28"/>
        </w:rPr>
        <w:t>за 202</w:t>
      </w:r>
      <w:r>
        <w:rPr>
          <w:rFonts w:ascii="Times New Roman" w:hAnsi="Times New Roman"/>
          <w:b w:val="1"/>
          <w:sz w:val="28"/>
        </w:rPr>
        <w:t>5</w:t>
      </w:r>
      <w:r>
        <w:rPr>
          <w:rFonts w:ascii="Times New Roman" w:hAnsi="Times New Roman"/>
          <w:b w:val="1"/>
          <w:sz w:val="28"/>
        </w:rPr>
        <w:t xml:space="preserve"> год</w:t>
      </w:r>
    </w:p>
    <w:p w14:paraId="10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11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Общие положения</w:t>
      </w:r>
    </w:p>
    <w:p w14:paraId="1200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  <w:sz w:val="28"/>
        </w:rPr>
      </w:pPr>
    </w:p>
    <w:p w14:paraId="1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Правовые основы образования и деятельности Контрольно-счетной палаты муниципального образования Туапсинский муниципальный округ </w:t>
      </w:r>
      <w:r>
        <w:rPr>
          <w:rFonts w:ascii="Times New Roman" w:hAnsi="Times New Roman"/>
          <w:sz w:val="28"/>
        </w:rPr>
        <w:t xml:space="preserve">Краснодарского края </w:t>
      </w:r>
      <w:r>
        <w:rPr>
          <w:rFonts w:ascii="Times New Roman" w:hAnsi="Times New Roman"/>
          <w:sz w:val="28"/>
        </w:rPr>
        <w:t xml:space="preserve">определены Бюджетным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одексом Р</w:t>
      </w:r>
      <w:r>
        <w:rPr>
          <w:rFonts w:ascii="Times New Roman" w:hAnsi="Times New Roman"/>
          <w:sz w:val="28"/>
        </w:rPr>
        <w:t xml:space="preserve">оссийской </w:t>
      </w:r>
      <w:r>
        <w:rPr>
          <w:rFonts w:ascii="Times New Roman" w:hAnsi="Times New Roman"/>
          <w:sz w:val="28"/>
        </w:rPr>
        <w:t>Ф</w:t>
      </w:r>
      <w:r>
        <w:rPr>
          <w:rFonts w:ascii="Times New Roman" w:hAnsi="Times New Roman"/>
          <w:sz w:val="28"/>
        </w:rPr>
        <w:t>едерации</w:t>
      </w:r>
      <w:r>
        <w:rPr>
          <w:rFonts w:ascii="Times New Roman" w:hAnsi="Times New Roman"/>
          <w:sz w:val="28"/>
        </w:rPr>
        <w:t xml:space="preserve"> (далее – БК РФ), ф</w:t>
      </w:r>
      <w:r>
        <w:rPr>
          <w:rFonts w:ascii="Times New Roman" w:hAnsi="Times New Roman"/>
          <w:sz w:val="28"/>
        </w:rPr>
        <w:t>едеральным</w:t>
      </w:r>
      <w:r>
        <w:rPr>
          <w:rFonts w:ascii="Times New Roman" w:hAnsi="Times New Roman"/>
          <w:sz w:val="28"/>
        </w:rPr>
        <w:t>и законами</w:t>
      </w:r>
      <w:r>
        <w:rPr>
          <w:rFonts w:ascii="Times New Roman" w:hAnsi="Times New Roman"/>
          <w:sz w:val="28"/>
        </w:rPr>
        <w:t xml:space="preserve"> от 6</w:t>
      </w:r>
      <w:r>
        <w:rPr>
          <w:rFonts w:ascii="Times New Roman" w:hAnsi="Times New Roman"/>
          <w:sz w:val="28"/>
        </w:rPr>
        <w:t xml:space="preserve"> октября </w:t>
      </w:r>
      <w:r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г.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№ 131-ФЗ</w:t>
      </w:r>
      <w:r>
        <w:rPr>
          <w:rFonts w:ascii="Times New Roman" w:hAnsi="Times New Roman"/>
          <w:sz w:val="28"/>
        </w:rPr>
        <w:t xml:space="preserve">             </w:t>
      </w:r>
      <w:r>
        <w:rPr>
          <w:rFonts w:ascii="Times New Roman" w:hAnsi="Times New Roman"/>
          <w:sz w:val="28"/>
        </w:rPr>
        <w:t xml:space="preserve"> «Об общих принципах организации местного самоуправления в Российской Федерации», от 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 февраля </w:t>
      </w:r>
      <w:r>
        <w:rPr>
          <w:rFonts w:ascii="Times New Roman" w:hAnsi="Times New Roman"/>
          <w:sz w:val="28"/>
        </w:rPr>
        <w:t>2011</w:t>
      </w:r>
      <w:r>
        <w:rPr>
          <w:rFonts w:ascii="Times New Roman" w:hAnsi="Times New Roman"/>
          <w:sz w:val="28"/>
        </w:rPr>
        <w:t xml:space="preserve"> г.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№ 6-ФЗ «Об общих принципах организации и деятельности контрольно-счётных органов субъектов Росси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ской </w:t>
      </w:r>
      <w:r>
        <w:rPr>
          <w:rFonts w:ascii="Times New Roman" w:hAnsi="Times New Roman"/>
          <w:spacing w:val="-4"/>
          <w:sz w:val="28"/>
        </w:rPr>
        <w:t>Федерации</w:t>
      </w:r>
      <w:r>
        <w:rPr>
          <w:rFonts w:ascii="Times New Roman" w:hAnsi="Times New Roman"/>
          <w:spacing w:val="-4"/>
          <w:sz w:val="28"/>
        </w:rPr>
        <w:t xml:space="preserve">, федеральных территорий </w:t>
      </w:r>
      <w:r>
        <w:rPr>
          <w:rFonts w:ascii="Times New Roman" w:hAnsi="Times New Roman"/>
          <w:spacing w:val="-4"/>
          <w:sz w:val="28"/>
        </w:rPr>
        <w:t xml:space="preserve">и муниципальных образований» (далее – </w:t>
      </w:r>
      <w:r>
        <w:rPr>
          <w:rFonts w:ascii="Times New Roman" w:hAnsi="Times New Roman"/>
          <w:spacing w:val="-4"/>
          <w:sz w:val="28"/>
        </w:rPr>
        <w:t>Федеральный закон № 6-ФЗ),</w:t>
      </w:r>
      <w:r>
        <w:rPr>
          <w:rFonts w:ascii="Times New Roman" w:hAnsi="Times New Roman"/>
          <w:sz w:val="28"/>
        </w:rPr>
        <w:t xml:space="preserve"> Уставом Туапсинск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муниципальн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округ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Положением</w:t>
      </w:r>
      <w:r>
        <w:rPr>
          <w:rFonts w:ascii="Times New Roman" w:hAnsi="Times New Roman"/>
          <w:sz w:val="28"/>
        </w:rPr>
        <w:t xml:space="preserve"> о Контрольно-счетной палате муниципального образования Туапсинский муниципальный округ Краснодарского края, утвержденн</w:t>
      </w:r>
      <w:r>
        <w:rPr>
          <w:rFonts w:ascii="Times New Roman" w:hAnsi="Times New Roman"/>
          <w:sz w:val="28"/>
        </w:rPr>
        <w:t>ым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решением Совета муниципального образования Туапсинский муниципальный округ Краснодарского края от 29 ноября 2024 </w:t>
      </w:r>
      <w:r>
        <w:rPr>
          <w:rFonts w:ascii="Times New Roman" w:hAnsi="Times New Roman"/>
          <w:sz w:val="28"/>
        </w:rPr>
        <w:t>г.</w:t>
      </w:r>
      <w:r>
        <w:rPr>
          <w:rFonts w:ascii="Times New Roman" w:hAnsi="Times New Roman"/>
          <w:sz w:val="28"/>
        </w:rPr>
        <w:t xml:space="preserve"> № 60 </w:t>
      </w:r>
      <w:r>
        <w:rPr>
          <w:rFonts w:ascii="Times New Roman" w:hAnsi="Times New Roman"/>
          <w:sz w:val="28"/>
        </w:rPr>
        <w:t xml:space="preserve">«Об изменении наименования Контрольно-счетного органа – Контрольно-счетная палата муниципального образования Туапсинский район и утверждении ее Положения в новой редакции» </w:t>
      </w:r>
      <w:r>
        <w:rPr>
          <w:rFonts w:ascii="Times New Roman" w:hAnsi="Times New Roman"/>
          <w:sz w:val="28"/>
        </w:rPr>
        <w:t>(далее – Положение о Контрольно-счетной палате).</w:t>
      </w:r>
    </w:p>
    <w:p w14:paraId="1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Контрольно-счетная палата муниципального образования Туапсинский муниципальный округ Краснодарского края (далее – Контрольно-счетная палата, Палата)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представляет собой независимый орган внешнего финансового контроля, </w:t>
      </w:r>
      <w:r>
        <w:rPr>
          <w:rFonts w:ascii="Times New Roman" w:hAnsi="Times New Roman"/>
          <w:sz w:val="28"/>
        </w:rPr>
        <w:t>подотчетн</w:t>
      </w:r>
      <w:r>
        <w:rPr>
          <w:rFonts w:ascii="Times New Roman" w:hAnsi="Times New Roman"/>
          <w:sz w:val="28"/>
        </w:rPr>
        <w:t>ый</w:t>
      </w:r>
      <w:r>
        <w:rPr>
          <w:rFonts w:ascii="Times New Roman" w:hAnsi="Times New Roman"/>
          <w:sz w:val="28"/>
        </w:rPr>
        <w:t xml:space="preserve"> Совету муниципального образования Туапсинский муниципальный округ Краснодарского края</w:t>
      </w:r>
      <w:r>
        <w:rPr>
          <w:rFonts w:ascii="Times New Roman" w:hAnsi="Times New Roman"/>
          <w:sz w:val="28"/>
        </w:rPr>
        <w:t xml:space="preserve"> (далее – Совет)</w:t>
      </w:r>
      <w:r>
        <w:rPr>
          <w:rFonts w:ascii="Times New Roman" w:hAnsi="Times New Roman"/>
          <w:sz w:val="28"/>
        </w:rPr>
        <w:t>, образованн</w:t>
      </w:r>
      <w:r>
        <w:rPr>
          <w:rFonts w:ascii="Times New Roman" w:hAnsi="Times New Roman"/>
          <w:sz w:val="28"/>
        </w:rPr>
        <w:t>ый</w:t>
      </w:r>
      <w:r>
        <w:rPr>
          <w:rFonts w:ascii="Times New Roman" w:hAnsi="Times New Roman"/>
          <w:sz w:val="28"/>
        </w:rPr>
        <w:t xml:space="preserve"> в целях осуществления контроля за исполнением </w:t>
      </w:r>
      <w:r>
        <w:rPr>
          <w:rFonts w:ascii="Times New Roman" w:hAnsi="Times New Roman"/>
          <w:sz w:val="28"/>
        </w:rPr>
        <w:t xml:space="preserve">местного </w:t>
      </w:r>
      <w:r>
        <w:rPr>
          <w:rFonts w:ascii="Times New Roman" w:hAnsi="Times New Roman"/>
          <w:sz w:val="28"/>
        </w:rPr>
        <w:t xml:space="preserve">бюджета, соблюдением установленного порядка подготовки и рассмотрения проекта </w:t>
      </w:r>
      <w:r>
        <w:rPr>
          <w:rFonts w:ascii="Times New Roman" w:hAnsi="Times New Roman"/>
          <w:sz w:val="28"/>
        </w:rPr>
        <w:t xml:space="preserve">местного </w:t>
      </w:r>
      <w:r>
        <w:rPr>
          <w:rFonts w:ascii="Times New Roman" w:hAnsi="Times New Roman"/>
          <w:sz w:val="28"/>
        </w:rPr>
        <w:t xml:space="preserve">бюджета, отчета о его исполнении, а также в целях </w:t>
      </w:r>
      <w:r>
        <w:rPr>
          <w:rFonts w:ascii="Times New Roman" w:hAnsi="Times New Roman"/>
          <w:sz w:val="28"/>
        </w:rPr>
        <w:t>контроля за установленн</w:t>
      </w:r>
      <w:r>
        <w:rPr>
          <w:rFonts w:ascii="Times New Roman" w:hAnsi="Times New Roman"/>
          <w:sz w:val="28"/>
        </w:rPr>
        <w:t>ым</w:t>
      </w:r>
      <w:r>
        <w:rPr>
          <w:rFonts w:ascii="Times New Roman" w:hAnsi="Times New Roman"/>
          <w:sz w:val="28"/>
        </w:rPr>
        <w:t xml:space="preserve"> порядк</w:t>
      </w:r>
      <w:r>
        <w:rPr>
          <w:rFonts w:ascii="Times New Roman" w:hAnsi="Times New Roman"/>
          <w:sz w:val="28"/>
        </w:rPr>
        <w:t>ом</w:t>
      </w:r>
      <w:r>
        <w:rPr>
          <w:rFonts w:ascii="Times New Roman" w:hAnsi="Times New Roman"/>
          <w:sz w:val="28"/>
        </w:rPr>
        <w:t xml:space="preserve"> управления и распоряжения имуществом, находящимся в муниципальной собственности.</w:t>
      </w:r>
    </w:p>
    <w:p w14:paraId="1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Полномочия Контрольно-счетной палаты распространяются на вопросы соблюдения субъектами бюджетной системы финансово-бюджетного законодательства</w:t>
      </w:r>
      <w:r>
        <w:rPr>
          <w:rFonts w:ascii="Times New Roman" w:hAnsi="Times New Roman"/>
          <w:sz w:val="28"/>
        </w:rPr>
        <w:t xml:space="preserve">, своевременности и полноты мобилизации муниципальных ресурсов, эффективности и законности управления муниципальной собственностью, полноты, законности, результативности (эффективности </w:t>
      </w:r>
      <w:r>
        <w:rPr>
          <w:rFonts w:ascii="Times New Roman" w:hAnsi="Times New Roman"/>
          <w:sz w:val="28"/>
        </w:rPr>
        <w:t xml:space="preserve">                 </w:t>
      </w:r>
      <w:r>
        <w:rPr>
          <w:rFonts w:ascii="Times New Roman" w:hAnsi="Times New Roman"/>
          <w:sz w:val="28"/>
        </w:rPr>
        <w:t>и экономности) и целевого использования средств местного бюджета, соблюдения правил ведения бюджетного учета и отчетности, осуществления аудита в сфере закупок.</w:t>
      </w:r>
    </w:p>
    <w:p w14:paraId="1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Контрольные полномочия Палаты распространяются на органы местного самоуправления и </w:t>
      </w:r>
      <w:r>
        <w:rPr>
          <w:rFonts w:ascii="Times New Roman" w:hAnsi="Times New Roman"/>
          <w:sz w:val="28"/>
        </w:rPr>
        <w:t xml:space="preserve">отраслевые (функциональные) </w:t>
      </w:r>
      <w:r>
        <w:rPr>
          <w:rFonts w:ascii="Times New Roman" w:hAnsi="Times New Roman"/>
          <w:sz w:val="28"/>
        </w:rPr>
        <w:t xml:space="preserve">органы, муниципальные учреждения и унитарные предприятия Туапсинского </w:t>
      </w:r>
      <w:r>
        <w:rPr>
          <w:rFonts w:ascii="Times New Roman" w:hAnsi="Times New Roman"/>
          <w:sz w:val="28"/>
        </w:rPr>
        <w:t>муниципального округа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 а также иные организации, использующие муниципальное имущество, получающие субсидии, кредиты или гарантии за счет средств бюджета.</w:t>
      </w:r>
    </w:p>
    <w:p w14:paraId="17000000">
      <w:pPr>
        <w:spacing w:after="0" w:line="240" w:lineRule="auto"/>
        <w:ind w:firstLine="709" w:left="0"/>
        <w:jc w:val="both"/>
        <w:outlineLvl w:val="0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z w:val="28"/>
        </w:rPr>
        <w:t>Отчет о деятельности Контрольно-счетной палаты (далее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sz w:val="28"/>
        </w:rPr>
        <w:t>Отчет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 xml:space="preserve"> за 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 </w:t>
      </w:r>
      <w:r>
        <w:rPr>
          <w:rFonts w:ascii="Times New Roman" w:hAnsi="Times New Roman"/>
          <w:sz w:val="28"/>
        </w:rPr>
        <w:t xml:space="preserve">подготовлен в соответствии со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"consultantplus://offline/ref=9B266175EA1DBA8DAAB9497F0F0FB3C973269B0D51D915BD8891C59F174080425881888E66EA82B0o8v2I"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ст</w:t>
      </w:r>
      <w:r>
        <w:rPr>
          <w:rFonts w:ascii="Times New Roman" w:hAnsi="Times New Roman"/>
          <w:sz w:val="28"/>
        </w:rPr>
        <w:t xml:space="preserve">атьи </w:t>
      </w:r>
      <w:r>
        <w:rPr>
          <w:rFonts w:ascii="Times New Roman" w:hAnsi="Times New Roman"/>
          <w:sz w:val="28"/>
        </w:rPr>
        <w:t>19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Федерального закона</w:t>
      </w:r>
      <w:r>
        <w:rPr>
          <w:rFonts w:ascii="Times New Roman" w:hAnsi="Times New Roman"/>
          <w:sz w:val="28"/>
        </w:rPr>
        <w:t xml:space="preserve">                     6</w:t>
      </w:r>
      <w:r>
        <w:rPr>
          <w:rFonts w:ascii="Times New Roman" w:hAnsi="Times New Roman"/>
          <w:sz w:val="28"/>
        </w:rPr>
        <w:t>-ФЗ</w:t>
      </w:r>
      <w:r>
        <w:rPr>
          <w:rFonts w:ascii="Times New Roman" w:hAnsi="Times New Roman"/>
          <w:spacing w:val="-4"/>
          <w:sz w:val="28"/>
        </w:rPr>
        <w:t xml:space="preserve">, статьей 21 </w:t>
      </w:r>
      <w:r>
        <w:rPr>
          <w:rFonts w:ascii="Times New Roman" w:hAnsi="Times New Roman"/>
          <w:spacing w:val="-4"/>
          <w:sz w:val="28"/>
        </w:rPr>
        <w:t>Положения о Контрольно-счетной палате.</w:t>
      </w:r>
    </w:p>
    <w:p w14:paraId="18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19000000">
      <w:pPr>
        <w:widowControl w:val="0"/>
        <w:ind w:firstLine="709" w:left="0"/>
        <w:jc w:val="center"/>
        <w:outlineLvl w:val="1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Основн</w:t>
      </w:r>
      <w:r>
        <w:rPr>
          <w:rFonts w:ascii="Times New Roman" w:hAnsi="Times New Roman"/>
          <w:b w:val="1"/>
          <w:sz w:val="28"/>
        </w:rPr>
        <w:t>ые итоги</w:t>
      </w:r>
      <w:r>
        <w:rPr>
          <w:rFonts w:ascii="Times New Roman" w:hAnsi="Times New Roman"/>
          <w:b w:val="1"/>
          <w:sz w:val="28"/>
        </w:rPr>
        <w:t xml:space="preserve"> деятельност</w:t>
      </w:r>
      <w:r>
        <w:rPr>
          <w:rFonts w:ascii="Times New Roman" w:hAnsi="Times New Roman"/>
          <w:b w:val="1"/>
          <w:sz w:val="28"/>
        </w:rPr>
        <w:t>и в 2025 году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1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году деятельность Палаты строилась на основных принципах, являющихся базовыми для эффективного функционирования органа внешнего финансового контроля: законности, объективности, эффективности, независимости, гласности и открытости.</w:t>
      </w:r>
    </w:p>
    <w:p w14:paraId="1B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Контрольно-счетная палата в 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году осуществляла следующие виды деятельности:</w:t>
      </w:r>
    </w:p>
    <w:p w14:paraId="1C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экспертно-аналитическая деятельность;</w:t>
      </w:r>
    </w:p>
    <w:p w14:paraId="1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контрольная деятельность;</w:t>
      </w:r>
    </w:p>
    <w:p w14:paraId="1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 устранения нарушений;</w:t>
      </w:r>
    </w:p>
    <w:p w14:paraId="1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иная деятельность.</w:t>
      </w:r>
    </w:p>
    <w:p w14:paraId="2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Комплекс контрольных и экспертно-аналитических мероприятий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осущ</w:t>
      </w:r>
      <w:r>
        <w:rPr>
          <w:rFonts w:ascii="Times New Roman" w:hAnsi="Times New Roman"/>
          <w:sz w:val="28"/>
        </w:rPr>
        <w:t xml:space="preserve">ествляемых в рамках предварительного, текущего и последующего контроля, составляет единую систему контроля Палаты за формированием </w:t>
      </w:r>
      <w:r>
        <w:rPr>
          <w:rFonts w:ascii="Times New Roman" w:hAnsi="Times New Roman"/>
          <w:sz w:val="28"/>
        </w:rPr>
        <w:t xml:space="preserve">                 </w:t>
      </w:r>
      <w:r>
        <w:rPr>
          <w:rFonts w:ascii="Times New Roman" w:hAnsi="Times New Roman"/>
          <w:sz w:val="28"/>
        </w:rPr>
        <w:t>и исполнением бюджета.</w:t>
      </w:r>
    </w:p>
    <w:p w14:paraId="2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отчетном году Палатой проведено:</w:t>
      </w:r>
    </w:p>
    <w:p w14:paraId="2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22 контрольных мероприятий;</w:t>
      </w:r>
    </w:p>
    <w:p w14:paraId="2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экспертно-аналитическ</w:t>
      </w:r>
      <w:r>
        <w:rPr>
          <w:rFonts w:ascii="Times New Roman" w:hAnsi="Times New Roman"/>
          <w:sz w:val="28"/>
        </w:rPr>
        <w:t>их</w:t>
      </w:r>
      <w:r>
        <w:rPr>
          <w:rFonts w:ascii="Times New Roman" w:hAnsi="Times New Roman"/>
          <w:sz w:val="28"/>
        </w:rPr>
        <w:t xml:space="preserve"> мероприяти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>.</w:t>
      </w:r>
    </w:p>
    <w:p w14:paraId="2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Объем проверенных средств составил </w:t>
      </w:r>
      <w:r>
        <w:rPr>
          <w:rFonts w:ascii="Times New Roman" w:hAnsi="Times New Roman"/>
          <w:sz w:val="28"/>
        </w:rPr>
        <w:t>33306012,0</w:t>
      </w:r>
      <w:r>
        <w:rPr>
          <w:rFonts w:ascii="Times New Roman" w:hAnsi="Times New Roman"/>
          <w:sz w:val="28"/>
        </w:rPr>
        <w:t xml:space="preserve"> тыс.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рублей</w:t>
      </w:r>
      <w:r>
        <w:rPr>
          <w:rFonts w:ascii="Times New Roman" w:hAnsi="Times New Roman"/>
          <w:sz w:val="28"/>
        </w:rPr>
        <w:t>.</w:t>
      </w:r>
    </w:p>
    <w:p w14:paraId="2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Аудит в сфере закупок осуществлен при проведении 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 контрольных мероприятий. Контрольными и экспертно-аналитическими мероприятиями охвачено </w:t>
      </w:r>
      <w:r>
        <w:rPr>
          <w:rFonts w:ascii="Times New Roman" w:hAnsi="Times New Roman"/>
          <w:sz w:val="28"/>
        </w:rPr>
        <w:t>95</w:t>
      </w:r>
      <w:r>
        <w:rPr>
          <w:rFonts w:ascii="Times New Roman" w:hAnsi="Times New Roman"/>
          <w:sz w:val="28"/>
        </w:rPr>
        <w:t xml:space="preserve"> объектов контроля, в том числе </w:t>
      </w:r>
      <w:r>
        <w:rPr>
          <w:rFonts w:ascii="Times New Roman" w:hAnsi="Times New Roman"/>
          <w:sz w:val="28"/>
        </w:rPr>
        <w:t>12</w:t>
      </w:r>
      <w:r>
        <w:rPr>
          <w:rFonts w:ascii="Times New Roman" w:hAnsi="Times New Roman"/>
          <w:sz w:val="28"/>
        </w:rPr>
        <w:t xml:space="preserve"> главных администраторов бюджетных средств (далее – ГАБС), </w:t>
      </w:r>
      <w:r>
        <w:rPr>
          <w:rFonts w:ascii="Times New Roman" w:hAnsi="Times New Roman"/>
          <w:sz w:val="28"/>
        </w:rPr>
        <w:t>23 отраслевых (функциональных) органов администрации Туапсинского муниципального округа, 47</w:t>
      </w:r>
      <w:r>
        <w:rPr>
          <w:rFonts w:ascii="Times New Roman" w:hAnsi="Times New Roman"/>
          <w:sz w:val="28"/>
        </w:rPr>
        <w:t xml:space="preserve"> муниципальных учреждений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 социально ориентированных некоммерческих организаций</w:t>
      </w:r>
      <w:r>
        <w:rPr>
          <w:rFonts w:ascii="Times New Roman" w:hAnsi="Times New Roman"/>
          <w:sz w:val="28"/>
        </w:rPr>
        <w:t>.</w:t>
      </w:r>
    </w:p>
    <w:p w14:paraId="2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Ключевыми задачами каждого мероприятия являлись оценка эффективности использования бюджетных средств и муниципальной собственности, выявление и предотвращение рисков, способных негативно влиять на достижение целей и задач муниципальных программ.</w:t>
      </w:r>
      <w:r>
        <w:rPr>
          <w:rFonts w:ascii="Times New Roman" w:hAnsi="Times New Roman"/>
          <w:sz w:val="28"/>
        </w:rPr>
        <w:t xml:space="preserve"> </w:t>
      </w:r>
    </w:p>
    <w:p w14:paraId="2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28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Объем нарушений, выявленных в ходе осуществления внешнего муниципального финансового контроля в 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году, составил </w:t>
      </w:r>
      <w:r>
        <w:rPr>
          <w:rFonts w:ascii="Times New Roman" w:hAnsi="Times New Roman"/>
          <w:sz w:val="28"/>
        </w:rPr>
        <w:t>210 600,6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тыс.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рублей и </w:t>
      </w:r>
      <w:r>
        <w:rPr>
          <w:rFonts w:ascii="Times New Roman" w:hAnsi="Times New Roman"/>
          <w:sz w:val="28"/>
        </w:rPr>
        <w:t>снизилось</w:t>
      </w:r>
      <w:r>
        <w:rPr>
          <w:rFonts w:ascii="Times New Roman" w:hAnsi="Times New Roman"/>
          <w:sz w:val="28"/>
        </w:rPr>
        <w:t xml:space="preserve"> по сравнению с 202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годом (</w:t>
      </w:r>
      <w:r>
        <w:rPr>
          <w:rFonts w:ascii="Times New Roman" w:hAnsi="Times New Roman"/>
          <w:sz w:val="28"/>
        </w:rPr>
        <w:t xml:space="preserve">1337371,68 </w:t>
      </w:r>
      <w:r>
        <w:rPr>
          <w:rFonts w:ascii="Times New Roman" w:hAnsi="Times New Roman"/>
          <w:sz w:val="28"/>
        </w:rPr>
        <w:t>тыс.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рублей) на  </w:t>
      </w:r>
      <w:r>
        <w:rPr>
          <w:rFonts w:ascii="Times New Roman" w:hAnsi="Times New Roman"/>
          <w:sz w:val="28"/>
        </w:rPr>
        <w:t xml:space="preserve">1 126 771,08 </w:t>
      </w:r>
      <w:r>
        <w:rPr>
          <w:rFonts w:ascii="Times New Roman" w:hAnsi="Times New Roman"/>
          <w:sz w:val="28"/>
        </w:rPr>
        <w:t>тыс.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рублей или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раз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14:paraId="2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Объем и виды выявленных нарушений напрямую зависят от тематики проведенных мероприятий.</w:t>
      </w:r>
    </w:p>
    <w:p w14:paraId="2A000000">
      <w:pPr>
        <w:tabs>
          <w:tab w:leader="none" w:pos="567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Сводная информация о структуре выявленных и устраненных нарушений и недостатков в 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году представлена в таблице:</w:t>
      </w:r>
    </w:p>
    <w:p w14:paraId="2B000000">
      <w:pPr>
        <w:tabs>
          <w:tab w:leader="none" w:pos="567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12"/>
        </w:rPr>
      </w:pPr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75"/>
        <w:gridCol w:w="3686"/>
        <w:gridCol w:w="1417"/>
        <w:gridCol w:w="709"/>
        <w:gridCol w:w="1418"/>
        <w:gridCol w:w="850"/>
        <w:gridCol w:w="1043"/>
      </w:tblGrid>
      <w:tr>
        <w:trPr>
          <w:trHeight w:hRule="atLeast" w:val="323"/>
        </w:trPr>
        <w:tc>
          <w:tcPr>
            <w:tcW w:type="dxa" w:w="67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C000000">
            <w:pPr>
              <w:tabs>
                <w:tab w:leader="none" w:pos="567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type="dxa" w:w="368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D000000">
            <w:pPr>
              <w:tabs>
                <w:tab w:leader="none" w:pos="567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Показатели</w:t>
            </w:r>
          </w:p>
        </w:tc>
        <w:tc>
          <w:tcPr>
            <w:tcW w:type="dxa" w:w="212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E000000">
            <w:pPr>
              <w:tabs>
                <w:tab w:leader="none" w:pos="567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Выявлено</w:t>
            </w:r>
          </w:p>
        </w:tc>
        <w:tc>
          <w:tcPr>
            <w:tcW w:type="dxa" w:w="331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F000000">
            <w:pPr>
              <w:tabs>
                <w:tab w:leader="none" w:pos="567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Устранено</w:t>
            </w:r>
          </w:p>
        </w:tc>
      </w:tr>
      <w:tr>
        <w:trPr>
          <w:trHeight w:hRule="atLeast" w:val="322"/>
        </w:trPr>
        <w:tc>
          <w:tcPr>
            <w:tcW w:type="dxa" w:w="6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368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0000000">
            <w:pPr>
              <w:tabs>
                <w:tab w:leader="none" w:pos="567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 xml:space="preserve">умма </w:t>
            </w:r>
            <w:r>
              <w:rPr>
                <w:rFonts w:ascii="Times New Roman" w:hAnsi="Times New Roman"/>
                <w:sz w:val="24"/>
              </w:rPr>
              <w:t xml:space="preserve">             </w:t>
            </w:r>
            <w:r>
              <w:rPr>
                <w:rFonts w:ascii="Times New Roman" w:hAnsi="Times New Roman"/>
                <w:sz w:val="24"/>
              </w:rPr>
              <w:t>(тыс.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руб.)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1000000">
            <w:pPr>
              <w:tabs>
                <w:tab w:leader="none" w:pos="567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д.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вес %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2000000">
            <w:pPr>
              <w:tabs>
                <w:tab w:leader="none" w:pos="567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умма (тыс.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руб.)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3000000">
            <w:pPr>
              <w:tabs>
                <w:tab w:leader="none" w:pos="567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д.</w:t>
            </w:r>
          </w:p>
          <w:p w14:paraId="34000000">
            <w:pPr>
              <w:tabs>
                <w:tab w:leader="none" w:pos="567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ес</w:t>
            </w:r>
          </w:p>
          <w:p w14:paraId="35000000">
            <w:pPr>
              <w:tabs>
                <w:tab w:leader="none" w:pos="567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type="dxa" w:w="1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6000000">
            <w:pPr>
              <w:tabs>
                <w:tab w:leader="none" w:pos="567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д.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вес от выяв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ленных%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7000000">
            <w:pPr>
              <w:tabs>
                <w:tab w:leader="none" w:pos="567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8000000">
            <w:pPr>
              <w:tabs>
                <w:tab w:leader="none" w:pos="567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9000000">
            <w:pPr>
              <w:tabs>
                <w:tab w:leader="none" w:pos="567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A000000">
            <w:pPr>
              <w:tabs>
                <w:tab w:leader="none" w:pos="567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B000000">
            <w:pPr>
              <w:tabs>
                <w:tab w:leader="none" w:pos="567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C000000">
            <w:pPr>
              <w:tabs>
                <w:tab w:leader="none" w:pos="567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1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D000000">
            <w:pPr>
              <w:tabs>
                <w:tab w:leader="none" w:pos="567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shd w:fill="auto" w:val="clear"/>
          </w:tcPr>
          <w:p w14:paraId="3E000000">
            <w:pPr>
              <w:tabs>
                <w:tab w:leader="none" w:pos="567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shd w:fill="auto" w:val="clear"/>
          </w:tcPr>
          <w:p w14:paraId="3F000000">
            <w:pPr>
              <w:tabs>
                <w:tab w:leader="none" w:pos="567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Финансовых нарушений</w:t>
            </w:r>
            <w:r>
              <w:rPr>
                <w:rFonts w:ascii="Times New Roman" w:hAnsi="Times New Roman"/>
                <w:sz w:val="24"/>
              </w:rPr>
              <w:t xml:space="preserve"> всего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в том числе: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shd w:fill="auto" w:val="clear"/>
          </w:tcPr>
          <w:p w14:paraId="40000000">
            <w:pPr>
              <w:tabs>
                <w:tab w:leader="none" w:pos="567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2570,0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shd w:fill="auto" w:val="clear"/>
          </w:tcPr>
          <w:p w14:paraId="41000000">
            <w:pPr>
              <w:tabs>
                <w:tab w:leader="none" w:pos="567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1,2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shd w:fill="auto" w:val="clear"/>
          </w:tcPr>
          <w:p w14:paraId="42000000">
            <w:pPr>
              <w:tabs>
                <w:tab w:leader="none" w:pos="567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2570,0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shd w:fill="auto" w:val="clear"/>
          </w:tcPr>
          <w:p w14:paraId="43000000">
            <w:pPr>
              <w:tabs>
                <w:tab w:leader="none" w:pos="567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2,5</w:t>
            </w:r>
          </w:p>
        </w:tc>
        <w:tc>
          <w:tcPr>
            <w:tcW w:type="dxa" w:w="1043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shd w:fill="auto" w:val="clear"/>
          </w:tcPr>
          <w:p w14:paraId="44000000">
            <w:pPr>
              <w:tabs>
                <w:tab w:leader="none" w:pos="567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</w:tr>
      <w:tr>
        <w:tc>
          <w:tcPr>
            <w:tcW w:type="dxa" w:w="67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5000000">
            <w:pPr>
              <w:tabs>
                <w:tab w:leader="none" w:pos="567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68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6000000">
            <w:pPr>
              <w:tabs>
                <w:tab w:leader="none" w:pos="567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прочие (необоснованные, неправомерные расходы), </w:t>
            </w:r>
          </w:p>
        </w:tc>
        <w:tc>
          <w:tcPr>
            <w:tcW w:type="dxa" w:w="141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7000000">
            <w:pPr>
              <w:tabs>
                <w:tab w:leader="none" w:pos="567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2570,0</w:t>
            </w:r>
          </w:p>
        </w:tc>
        <w:tc>
          <w:tcPr>
            <w:tcW w:type="dxa" w:w="7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8000000">
            <w:pPr>
              <w:tabs>
                <w:tab w:leader="none" w:pos="567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1,2</w:t>
            </w:r>
          </w:p>
        </w:tc>
        <w:tc>
          <w:tcPr>
            <w:tcW w:type="dxa" w:w="141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9000000">
            <w:pPr>
              <w:tabs>
                <w:tab w:leader="none" w:pos="567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570,0</w:t>
            </w:r>
          </w:p>
        </w:tc>
        <w:tc>
          <w:tcPr>
            <w:tcW w:type="dxa" w:w="8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A000000">
            <w:pPr>
              <w:tabs>
                <w:tab w:leader="none" w:pos="567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2,5</w:t>
            </w:r>
          </w:p>
        </w:tc>
        <w:tc>
          <w:tcPr>
            <w:tcW w:type="dxa" w:w="10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B000000">
            <w:pPr>
              <w:tabs>
                <w:tab w:leader="none" w:pos="567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C000000">
            <w:pPr>
              <w:tabs>
                <w:tab w:leader="none" w:pos="567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D000000">
            <w:pPr>
              <w:tabs>
                <w:tab w:leader="none" w:pos="567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Неэфф</w:t>
            </w:r>
            <w:r>
              <w:rPr>
                <w:rFonts w:ascii="Times New Roman" w:hAnsi="Times New Roman"/>
                <w:sz w:val="24"/>
              </w:rPr>
              <w:t>ективное использование средств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E000000">
            <w:pPr>
              <w:tabs>
                <w:tab w:leader="none" w:pos="567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38814,5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F000000">
            <w:pPr>
              <w:tabs>
                <w:tab w:leader="none" w:pos="567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18,4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0000000">
            <w:pPr>
              <w:tabs>
                <w:tab w:leader="none" w:pos="567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14239,3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1000000">
            <w:pPr>
              <w:tabs>
                <w:tab w:leader="none" w:pos="567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13,9</w:t>
            </w:r>
          </w:p>
        </w:tc>
        <w:tc>
          <w:tcPr>
            <w:tcW w:type="dxa" w:w="1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2000000">
            <w:pPr>
              <w:tabs>
                <w:tab w:leader="none" w:pos="567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36,7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3000000">
            <w:pPr>
              <w:tabs>
                <w:tab w:leader="none" w:pos="567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4000000">
            <w:pPr>
              <w:tabs>
                <w:tab w:leader="none" w:pos="567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Нарушения порядка ведения бюджетного (бухгалтерского) учета, составления и предоставления бюджет</w:t>
            </w:r>
            <w:r>
              <w:rPr>
                <w:rFonts w:ascii="Times New Roman" w:hAnsi="Times New Roman"/>
                <w:sz w:val="24"/>
              </w:rPr>
              <w:t>ной (бухгалтерской) отчетности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5000000">
            <w:pPr>
              <w:tabs>
                <w:tab w:leader="none" w:pos="567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</w:t>
            </w:r>
            <w:r>
              <w:rPr>
                <w:rFonts w:ascii="Times New Roman" w:hAnsi="Times New Roman"/>
                <w:sz w:val="24"/>
              </w:rPr>
              <w:t>000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6000000">
            <w:pPr>
              <w:tabs>
                <w:tab w:leader="none" w:pos="567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32,3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7000000">
            <w:pPr>
              <w:tabs>
                <w:tab w:leader="none" w:pos="567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</w:t>
            </w:r>
            <w:r>
              <w:rPr>
                <w:rFonts w:ascii="Times New Roman" w:hAnsi="Times New Roman"/>
                <w:sz w:val="24"/>
              </w:rPr>
              <w:t>000,6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8000000">
            <w:pPr>
              <w:tabs>
                <w:tab w:leader="none" w:pos="567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9000000">
            <w:pPr>
              <w:tabs>
                <w:tab w:leader="none" w:pos="567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A000000">
            <w:pPr>
              <w:tabs>
                <w:tab w:leader="none" w:pos="567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B000000">
            <w:pPr>
              <w:tabs>
                <w:tab w:leader="none" w:pos="567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ны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 xml:space="preserve">  нарушений  законодательства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C000000">
            <w:pPr>
              <w:tabs>
                <w:tab w:leader="none" w:pos="567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100715,5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D000000">
            <w:pPr>
              <w:tabs>
                <w:tab w:leader="none" w:pos="567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47,8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E000000">
            <w:pPr>
              <w:tabs>
                <w:tab w:leader="none" w:pos="567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17118,7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F000000">
            <w:pPr>
              <w:tabs>
                <w:tab w:leader="none" w:pos="567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16,7</w:t>
            </w:r>
          </w:p>
        </w:tc>
        <w:tc>
          <w:tcPr>
            <w:tcW w:type="dxa" w:w="1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0000000">
            <w:pPr>
              <w:tabs>
                <w:tab w:leader="none" w:pos="567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17,0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1000000">
            <w:pPr>
              <w:tabs>
                <w:tab w:leader="none" w:pos="567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2000000">
            <w:pPr>
              <w:tabs>
                <w:tab w:leader="none" w:pos="1845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Стоимость имущества, используемого с нарушениями установленного порядка управ</w:t>
            </w:r>
            <w:r>
              <w:rPr>
                <w:rFonts w:ascii="Times New Roman" w:hAnsi="Times New Roman"/>
                <w:sz w:val="24"/>
              </w:rPr>
              <w:t>ления и распоряжения имуществом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4000000">
            <w:pPr>
              <w:tabs>
                <w:tab w:leader="none" w:pos="567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5000000">
            <w:pPr>
              <w:tabs>
                <w:tab w:leader="none" w:pos="567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6000000">
            <w:pPr>
              <w:tabs>
                <w:tab w:leader="none" w:pos="567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type="dxa" w:w="1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7000000">
            <w:pPr>
              <w:tabs>
                <w:tab w:leader="none" w:pos="567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8000000">
            <w:pPr>
              <w:tabs>
                <w:tab w:leader="none" w:pos="567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9000000">
            <w:pPr>
              <w:tabs>
                <w:tab w:leader="none" w:pos="567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A000000">
            <w:pPr>
              <w:tabs>
                <w:tab w:leader="none" w:pos="567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210600,6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B000000">
            <w:pPr>
              <w:tabs>
                <w:tab w:leader="none" w:pos="567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C000000">
            <w:pPr>
              <w:tabs>
                <w:tab w:leader="none" w:pos="567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102428,6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D000000">
            <w:pPr>
              <w:tabs>
                <w:tab w:leader="none" w:pos="567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type="dxa" w:w="1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E000000">
            <w:pPr>
              <w:tabs>
                <w:tab w:leader="none" w:pos="567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48,6</w:t>
            </w:r>
          </w:p>
        </w:tc>
      </w:tr>
    </w:tbl>
    <w:p w14:paraId="6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7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Всего устранено нарушений на сумму </w:t>
      </w:r>
      <w:r>
        <w:rPr>
          <w:rFonts w:ascii="Times New Roman" w:hAnsi="Times New Roman"/>
          <w:sz w:val="28"/>
        </w:rPr>
        <w:t>102428,6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тыс.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рублей или 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%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от суммы установленных нарушений. </w:t>
      </w:r>
    </w:p>
    <w:p w14:paraId="7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общем объеме нарушений и недостатков наибольший удельный вес нарушений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47,8</w:t>
      </w:r>
      <w:r>
        <w:rPr>
          <w:rFonts w:ascii="Times New Roman" w:hAnsi="Times New Roman"/>
          <w:sz w:val="28"/>
        </w:rPr>
        <w:t xml:space="preserve">%) </w:t>
      </w:r>
      <w:r>
        <w:rPr>
          <w:rFonts w:ascii="Times New Roman" w:hAnsi="Times New Roman"/>
          <w:sz w:val="28"/>
        </w:rPr>
        <w:t xml:space="preserve">выявлен по </w:t>
      </w:r>
      <w:r>
        <w:rPr>
          <w:rFonts w:ascii="Times New Roman" w:hAnsi="Times New Roman"/>
          <w:sz w:val="28"/>
        </w:rPr>
        <w:t>иным нарушениям законодательства (</w:t>
      </w:r>
      <w:r>
        <w:rPr>
          <w:rFonts w:ascii="Times New Roman" w:hAnsi="Times New Roman"/>
          <w:sz w:val="28"/>
        </w:rPr>
        <w:t xml:space="preserve">не недополученным доходам </w:t>
      </w:r>
      <w:r>
        <w:rPr>
          <w:rFonts w:ascii="Times New Roman" w:hAnsi="Times New Roman"/>
          <w:sz w:val="28"/>
        </w:rPr>
        <w:t>по платежам в бюджет</w:t>
      </w:r>
      <w:r>
        <w:rPr>
          <w:rFonts w:ascii="Times New Roman" w:hAnsi="Times New Roman"/>
          <w:sz w:val="28"/>
        </w:rPr>
        <w:t xml:space="preserve"> в результате не исполнения главным администратором доходов бюджета своих полномочий)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По сравнению с показателями прошлого года (</w:t>
      </w:r>
      <w:r>
        <w:rPr>
          <w:rFonts w:ascii="Times New Roman" w:hAnsi="Times New Roman"/>
          <w:sz w:val="28"/>
        </w:rPr>
        <w:t>28244,85 тыс. рублей)</w:t>
      </w:r>
      <w:r>
        <w:rPr>
          <w:rFonts w:ascii="Times New Roman" w:hAnsi="Times New Roman"/>
          <w:sz w:val="28"/>
        </w:rPr>
        <w:t xml:space="preserve"> объем недополученных доходов вырос в </w:t>
      </w:r>
      <w:r>
        <w:rPr>
          <w:rFonts w:ascii="Times New Roman" w:hAnsi="Times New Roman"/>
          <w:sz w:val="28"/>
        </w:rPr>
        <w:t>3,6 раза.</w:t>
      </w:r>
    </w:p>
    <w:p w14:paraId="7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 же сохраняется значительный удельный вес (3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%) нарушений </w:t>
      </w:r>
      <w:r>
        <w:rPr>
          <w:rFonts w:ascii="Times New Roman" w:hAnsi="Times New Roman"/>
          <w:sz w:val="28"/>
        </w:rPr>
        <w:t>порядка ведения бюджетного (бухгалтерского) учета, составления и предоставления бюджетной (бухгалтерской) отчетности</w:t>
      </w:r>
      <w:r>
        <w:rPr>
          <w:rFonts w:ascii="Times New Roman" w:hAnsi="Times New Roman"/>
          <w:sz w:val="28"/>
        </w:rPr>
        <w:t>, выявленный в результате проверки годовой бюджетной отчетности главных администраторов доходов бюджетов поселений, входящих в состав Туапсинского района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                 </w:t>
      </w:r>
      <w:r>
        <w:rPr>
          <w:rFonts w:ascii="Times New Roman" w:hAnsi="Times New Roman"/>
          <w:sz w:val="28"/>
        </w:rPr>
        <w:t xml:space="preserve">за 2024 </w:t>
      </w:r>
      <w:r>
        <w:rPr>
          <w:rFonts w:ascii="Times New Roman" w:hAnsi="Times New Roman"/>
          <w:sz w:val="28"/>
        </w:rPr>
        <w:t>год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В сравнении с показателями 202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года (1255847,52 тыс. рублей) снижение</w:t>
      </w:r>
      <w:r>
        <w:rPr>
          <w:rFonts w:ascii="Times New Roman" w:hAnsi="Times New Roman"/>
          <w:sz w:val="28"/>
        </w:rPr>
        <w:t xml:space="preserve"> нарушений</w:t>
      </w:r>
      <w:r>
        <w:rPr>
          <w:rFonts w:ascii="Times New Roman" w:hAnsi="Times New Roman"/>
          <w:sz w:val="28"/>
        </w:rPr>
        <w:t xml:space="preserve"> в </w:t>
      </w:r>
      <w:r>
        <w:rPr>
          <w:rFonts w:ascii="Times New Roman" w:hAnsi="Times New Roman"/>
          <w:sz w:val="28"/>
        </w:rPr>
        <w:t>18,4</w:t>
      </w:r>
      <w:r>
        <w:rPr>
          <w:rFonts w:ascii="Times New Roman" w:hAnsi="Times New Roman"/>
          <w:sz w:val="28"/>
        </w:rPr>
        <w:t xml:space="preserve"> раза.</w:t>
      </w:r>
    </w:p>
    <w:p w14:paraId="7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Объем неэффективного использования средств в сравнении с  показателями 202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года (8572,06 тыс. рублей) </w:t>
      </w:r>
      <w:r>
        <w:rPr>
          <w:rFonts w:ascii="Times New Roman" w:hAnsi="Times New Roman"/>
          <w:sz w:val="28"/>
        </w:rPr>
        <w:t>снизился</w:t>
      </w:r>
      <w:r>
        <w:rPr>
          <w:rFonts w:ascii="Times New Roman" w:hAnsi="Times New Roman"/>
          <w:sz w:val="28"/>
        </w:rPr>
        <w:t xml:space="preserve"> в </w:t>
      </w:r>
      <w:r>
        <w:rPr>
          <w:rFonts w:ascii="Times New Roman" w:hAnsi="Times New Roman"/>
          <w:sz w:val="28"/>
        </w:rPr>
        <w:t>3,3</w:t>
      </w:r>
      <w:r>
        <w:rPr>
          <w:rFonts w:ascii="Times New Roman" w:hAnsi="Times New Roman"/>
          <w:sz w:val="28"/>
        </w:rPr>
        <w:t xml:space="preserve"> раза.</w:t>
      </w:r>
    </w:p>
    <w:p w14:paraId="7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принятия мер по устранению выявленных в ходе проверок нарушений и недостатков Контрольно-счетной палатой в отчетном году в адрес руководителей учреждений направлено 20 представлений. </w:t>
      </w:r>
    </w:p>
    <w:p w14:paraId="7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Пал</w:t>
      </w:r>
      <w:r>
        <w:rPr>
          <w:rFonts w:ascii="Times New Roman" w:hAnsi="Times New Roman"/>
          <w:sz w:val="28"/>
        </w:rPr>
        <w:t>атой подготовлено 118 информаций</w:t>
      </w:r>
      <w:r>
        <w:rPr>
          <w:rFonts w:ascii="Times New Roman" w:hAnsi="Times New Roman"/>
          <w:sz w:val="28"/>
        </w:rPr>
        <w:t xml:space="preserve"> о ходе исполнения местного </w:t>
      </w:r>
      <w:r>
        <w:rPr>
          <w:rFonts w:ascii="Times New Roman" w:hAnsi="Times New Roman"/>
          <w:sz w:val="28"/>
        </w:rPr>
        <w:t>б</w:t>
      </w:r>
      <w:r>
        <w:rPr>
          <w:rFonts w:ascii="Times New Roman" w:hAnsi="Times New Roman"/>
          <w:sz w:val="28"/>
        </w:rPr>
        <w:t>юджета, о результатах проведенных мероприятий, данная информация представлена в Совет и главе Туапсинск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округ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.</w:t>
      </w:r>
    </w:p>
    <w:p w14:paraId="7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Материалы по всем  контрольным мероприятиям направлены в Туапсинскую межрайонную прокуратуру. </w:t>
      </w:r>
    </w:p>
    <w:p w14:paraId="7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 допущенные нарушения 7 должностных лиц объектов контроля привлечены к административной ответственности, общий объем  оплаченных штрафов составил 110,0 тыс. рублей. Привлечено к дисциплинарной ответственности 3 должностных лица. </w:t>
      </w:r>
    </w:p>
    <w:p w14:paraId="78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рекомендаций Контрольно-счетной палаты принято               12 муниципальных правовых актов.</w:t>
      </w:r>
    </w:p>
    <w:p w14:paraId="79000000">
      <w:pPr>
        <w:widowControl w:val="0"/>
        <w:spacing w:after="0" w:line="240" w:lineRule="auto"/>
        <w:ind/>
        <w:jc w:val="center"/>
        <w:outlineLvl w:val="1"/>
        <w:rPr>
          <w:rFonts w:ascii="Times New Roman" w:hAnsi="Times New Roman"/>
          <w:b w:val="1"/>
          <w:sz w:val="28"/>
        </w:rPr>
      </w:pPr>
    </w:p>
    <w:p w14:paraId="7A000000">
      <w:pPr>
        <w:widowControl w:val="0"/>
        <w:spacing w:after="0" w:line="240" w:lineRule="auto"/>
        <w:ind/>
        <w:jc w:val="center"/>
        <w:outlineLvl w:val="1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Результаты контрольной деятельности</w:t>
      </w:r>
    </w:p>
    <w:p w14:paraId="7B000000">
      <w:pPr>
        <w:widowControl w:val="0"/>
        <w:tabs>
          <w:tab w:leader="none" w:pos="1965" w:val="left"/>
        </w:tabs>
        <w:spacing w:after="0" w:line="240" w:lineRule="auto"/>
        <w:ind w:firstLine="709" w:left="0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14:paraId="7C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планом работы 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отчётном периоде проведено </w:t>
      </w:r>
      <w:r>
        <w:rPr>
          <w:rFonts w:ascii="Times New Roman" w:hAnsi="Times New Roman"/>
          <w:sz w:val="28"/>
        </w:rPr>
        <w:t xml:space="preserve">                 </w:t>
      </w:r>
      <w:r>
        <w:rPr>
          <w:rFonts w:ascii="Times New Roman" w:hAnsi="Times New Roman"/>
          <w:sz w:val="28"/>
        </w:rPr>
        <w:t xml:space="preserve">22 </w:t>
      </w:r>
      <w:r>
        <w:rPr>
          <w:rFonts w:ascii="Times New Roman" w:hAnsi="Times New Roman"/>
          <w:sz w:val="28"/>
        </w:rPr>
        <w:t>контрольных мероприятий</w:t>
      </w:r>
      <w:r>
        <w:rPr>
          <w:rFonts w:ascii="Times New Roman" w:hAnsi="Times New Roman"/>
          <w:sz w:val="28"/>
        </w:rPr>
        <w:t xml:space="preserve">. При проведении контрольных мероприятий охвачено </w:t>
      </w:r>
      <w:r>
        <w:rPr>
          <w:rFonts w:ascii="Times New Roman" w:hAnsi="Times New Roman"/>
          <w:sz w:val="28"/>
        </w:rPr>
        <w:t>25</w:t>
      </w:r>
      <w:r>
        <w:rPr>
          <w:rFonts w:ascii="Times New Roman" w:hAnsi="Times New Roman"/>
          <w:sz w:val="28"/>
        </w:rPr>
        <w:t xml:space="preserve"> объект</w:t>
      </w:r>
      <w:r>
        <w:rPr>
          <w:rFonts w:ascii="Times New Roman" w:hAnsi="Times New Roman"/>
          <w:sz w:val="28"/>
        </w:rPr>
        <w:t>ов</w:t>
      </w:r>
      <w:r>
        <w:rPr>
          <w:rFonts w:ascii="Times New Roman" w:hAnsi="Times New Roman"/>
          <w:sz w:val="28"/>
        </w:rPr>
        <w:t xml:space="preserve"> контроля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общий объем проверенных средств по контрольным мероприятиям составил </w:t>
      </w:r>
      <w:r>
        <w:rPr>
          <w:rFonts w:ascii="Times New Roman" w:hAnsi="Times New Roman"/>
          <w:sz w:val="28"/>
        </w:rPr>
        <w:t>6645123,0</w:t>
      </w:r>
      <w:r>
        <w:rPr>
          <w:rFonts w:ascii="Times New Roman" w:hAnsi="Times New Roman"/>
          <w:sz w:val="28"/>
        </w:rPr>
        <w:t xml:space="preserve"> тыс.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рублей</w:t>
      </w:r>
      <w:r>
        <w:rPr>
          <w:rFonts w:ascii="Times New Roman" w:hAnsi="Times New Roman"/>
          <w:sz w:val="28"/>
        </w:rPr>
        <w:t>.</w:t>
      </w:r>
    </w:p>
    <w:p w14:paraId="7D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Объектами контроля являлись 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главных администратора бюджетных средств – структурные подразделения администраций и органы местного самоуправления (отдельные – неоднократно по различным предметам контроля), </w:t>
      </w:r>
      <w:r>
        <w:rPr>
          <w:rFonts w:ascii="Times New Roman" w:hAnsi="Times New Roman"/>
          <w:sz w:val="28"/>
        </w:rPr>
        <w:t>10</w:t>
      </w:r>
      <w:r>
        <w:rPr>
          <w:rFonts w:ascii="Times New Roman" w:hAnsi="Times New Roman"/>
          <w:sz w:val="28"/>
        </w:rPr>
        <w:t xml:space="preserve"> муниципальных учреждения. </w:t>
      </w:r>
    </w:p>
    <w:p w14:paraId="7E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Комплексным мероприятиям явля</w:t>
      </w:r>
      <w:r>
        <w:rPr>
          <w:rFonts w:ascii="Times New Roman" w:hAnsi="Times New Roman"/>
          <w:sz w:val="28"/>
        </w:rPr>
        <w:t>лось</w:t>
      </w:r>
      <w:r>
        <w:rPr>
          <w:rFonts w:ascii="Times New Roman" w:hAnsi="Times New Roman"/>
          <w:sz w:val="28"/>
        </w:rPr>
        <w:t xml:space="preserve"> проведение внешней проверки годовой бюджетной отчетности </w:t>
      </w:r>
      <w:r>
        <w:rPr>
          <w:rFonts w:ascii="Times New Roman" w:hAnsi="Times New Roman"/>
          <w:sz w:val="28"/>
        </w:rPr>
        <w:t xml:space="preserve"> главных администраторов бюджетных средств, в рамках которой анализируется бюджетная отчетность. </w:t>
      </w:r>
    </w:p>
    <w:p w14:paraId="7F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внешней проверке</w:t>
      </w:r>
      <w:r>
        <w:rPr>
          <w:rFonts w:ascii="Times New Roman" w:hAnsi="Times New Roman"/>
          <w:sz w:val="28"/>
        </w:rPr>
        <w:t xml:space="preserve"> годово</w:t>
      </w:r>
      <w:r>
        <w:rPr>
          <w:rFonts w:ascii="Times New Roman" w:hAnsi="Times New Roman"/>
          <w:sz w:val="28"/>
        </w:rPr>
        <w:t>го</w:t>
      </w:r>
      <w:r>
        <w:rPr>
          <w:rFonts w:ascii="Times New Roman" w:hAnsi="Times New Roman"/>
          <w:sz w:val="28"/>
        </w:rPr>
        <w:t xml:space="preserve"> отчета об исполнении бюджета и бюджетной (бухгалтерской) отчетности главных администраторов бюджетных средств за 202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год охвачен объем средств в сумме </w:t>
      </w:r>
      <w:r>
        <w:rPr>
          <w:rFonts w:ascii="Times New Roman" w:hAnsi="Times New Roman"/>
          <w:sz w:val="28"/>
        </w:rPr>
        <w:t>6408512,0</w:t>
      </w:r>
      <w:r>
        <w:rPr>
          <w:rFonts w:ascii="Times New Roman" w:hAnsi="Times New Roman"/>
          <w:sz w:val="28"/>
        </w:rPr>
        <w:t xml:space="preserve"> тыс.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рублей</w:t>
      </w:r>
      <w:r>
        <w:rPr>
          <w:rFonts w:ascii="Times New Roman" w:hAnsi="Times New Roman"/>
          <w:sz w:val="28"/>
        </w:rPr>
        <w:t xml:space="preserve"> по 12 главным администраторам доходов бюджета, из которых 10 администраторов доходов бюджета поселений</w:t>
      </w:r>
      <w:r>
        <w:rPr>
          <w:rFonts w:ascii="Times New Roman" w:hAnsi="Times New Roman"/>
          <w:sz w:val="28"/>
        </w:rPr>
        <w:t>. По итогам проведения внешней проверки бюджетной отчетности главных администраторов бюджетных средств составлен</w:t>
      </w:r>
      <w:r>
        <w:rPr>
          <w:rFonts w:ascii="Times New Roman" w:hAnsi="Times New Roman"/>
          <w:sz w:val="28"/>
        </w:rPr>
        <w:t>о 1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актов.</w:t>
      </w:r>
    </w:p>
    <w:p w14:paraId="80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Объем проверенных средств тематическими контрольным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мероприятиями составил </w:t>
      </w:r>
      <w:r>
        <w:rPr>
          <w:rFonts w:ascii="Times New Roman" w:hAnsi="Times New Roman"/>
          <w:sz w:val="28"/>
        </w:rPr>
        <w:t>236611,0</w:t>
      </w:r>
      <w:r>
        <w:rPr>
          <w:rFonts w:ascii="Times New Roman" w:hAnsi="Times New Roman"/>
          <w:sz w:val="28"/>
        </w:rPr>
        <w:t xml:space="preserve"> тыс.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рублей.</w:t>
      </w:r>
      <w:r>
        <w:rPr>
          <w:rFonts w:ascii="Times New Roman" w:hAnsi="Times New Roman"/>
          <w:sz w:val="28"/>
        </w:rPr>
        <w:t xml:space="preserve"> Тематические проверки проведены в  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органах м</w:t>
      </w:r>
      <w:r>
        <w:rPr>
          <w:rFonts w:ascii="Times New Roman" w:hAnsi="Times New Roman"/>
          <w:sz w:val="28"/>
        </w:rPr>
        <w:t>естного самоуправления</w:t>
      </w:r>
      <w:r>
        <w:rPr>
          <w:rFonts w:ascii="Times New Roman" w:hAnsi="Times New Roman"/>
          <w:sz w:val="28"/>
        </w:rPr>
        <w:t xml:space="preserve"> (в том числе структурны</w:t>
      </w:r>
      <w:r>
        <w:rPr>
          <w:rFonts w:ascii="Times New Roman" w:hAnsi="Times New Roman"/>
          <w:sz w:val="28"/>
        </w:rPr>
        <w:t>х</w:t>
      </w:r>
      <w:r>
        <w:rPr>
          <w:rFonts w:ascii="Times New Roman" w:hAnsi="Times New Roman"/>
          <w:sz w:val="28"/>
        </w:rPr>
        <w:t xml:space="preserve"> подразделения</w:t>
      </w:r>
      <w:r>
        <w:rPr>
          <w:rFonts w:ascii="Times New Roman" w:hAnsi="Times New Roman"/>
          <w:sz w:val="28"/>
        </w:rPr>
        <w:t>х</w:t>
      </w:r>
      <w:r>
        <w:rPr>
          <w:rFonts w:ascii="Times New Roman" w:hAnsi="Times New Roman"/>
          <w:sz w:val="28"/>
        </w:rPr>
        <w:t xml:space="preserve"> администраций)</w:t>
      </w:r>
      <w:r>
        <w:rPr>
          <w:rFonts w:ascii="Times New Roman" w:hAnsi="Times New Roman"/>
          <w:sz w:val="28"/>
        </w:rPr>
        <w:t xml:space="preserve">, в </w:t>
      </w:r>
      <w:r>
        <w:rPr>
          <w:rFonts w:ascii="Times New Roman" w:hAnsi="Times New Roman"/>
          <w:sz w:val="28"/>
        </w:rPr>
        <w:t>10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муниципальных учреждениях.</w:t>
      </w:r>
    </w:p>
    <w:p w14:paraId="81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Объем средств охваченный а</w:t>
      </w:r>
      <w:r>
        <w:rPr>
          <w:rFonts w:ascii="Times New Roman" w:hAnsi="Times New Roman"/>
          <w:sz w:val="28"/>
        </w:rPr>
        <w:t xml:space="preserve">удитом в сфере закупок составил           </w:t>
      </w: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>85125,1</w:t>
      </w:r>
      <w:r>
        <w:rPr>
          <w:rFonts w:ascii="Times New Roman" w:hAnsi="Times New Roman"/>
          <w:sz w:val="28"/>
        </w:rPr>
        <w:t xml:space="preserve"> тыс.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рублей.</w:t>
      </w:r>
    </w:p>
    <w:p w14:paraId="82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Контрольными мероприятиями выявлено нарушений на сумму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192335,4</w:t>
      </w:r>
      <w:r>
        <w:rPr>
          <w:rFonts w:ascii="Times New Roman" w:hAnsi="Times New Roman"/>
          <w:sz w:val="28"/>
        </w:rPr>
        <w:t xml:space="preserve"> тыс.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рублей</w:t>
      </w:r>
      <w:r>
        <w:rPr>
          <w:rFonts w:ascii="Times New Roman" w:hAnsi="Times New Roman"/>
          <w:sz w:val="28"/>
        </w:rPr>
        <w:t xml:space="preserve"> или </w:t>
      </w:r>
      <w:r>
        <w:rPr>
          <w:rFonts w:ascii="Times New Roman" w:hAnsi="Times New Roman"/>
          <w:sz w:val="28"/>
        </w:rPr>
        <w:t>81,3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% от суммы проверенных средств.</w:t>
      </w:r>
      <w:r>
        <w:rPr>
          <w:rFonts w:ascii="Times New Roman" w:hAnsi="Times New Roman"/>
          <w:sz w:val="28"/>
        </w:rPr>
        <w:t xml:space="preserve"> </w:t>
      </w:r>
    </w:p>
    <w:p w14:paraId="8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 общего объема нарушений, установленных контрольными мероприятиями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наибольший вес в денежном выражении занимают</w:t>
      </w:r>
      <w:r>
        <w:rPr>
          <w:rFonts w:ascii="Times New Roman" w:hAnsi="Times New Roman"/>
          <w:sz w:val="28"/>
        </w:rPr>
        <w:t>:</w:t>
      </w:r>
    </w:p>
    <w:p w14:paraId="8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нарушени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 по </w:t>
      </w:r>
      <w:r>
        <w:rPr>
          <w:rFonts w:ascii="Times New Roman" w:hAnsi="Times New Roman"/>
          <w:sz w:val="28"/>
        </w:rPr>
        <w:t>иным нарушениям законодательства (</w:t>
      </w:r>
      <w:r>
        <w:rPr>
          <w:rFonts w:ascii="Times New Roman" w:hAnsi="Times New Roman"/>
          <w:sz w:val="28"/>
        </w:rPr>
        <w:t>не недополученным доходам по платежам в бюджет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результате не исполнения главным администратором доходов бюджета своих полномочий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100715,5</w:t>
      </w:r>
      <w:r>
        <w:rPr>
          <w:rFonts w:ascii="Times New Roman" w:hAnsi="Times New Roman"/>
          <w:sz w:val="28"/>
        </w:rPr>
        <w:t xml:space="preserve"> тыс. рублей или </w:t>
      </w:r>
      <w:r>
        <w:rPr>
          <w:rFonts w:ascii="Times New Roman" w:hAnsi="Times New Roman"/>
          <w:sz w:val="28"/>
        </w:rPr>
        <w:t>52,4%</w:t>
      </w:r>
      <w:r>
        <w:rPr>
          <w:rFonts w:ascii="Times New Roman" w:hAnsi="Times New Roman"/>
          <w:sz w:val="28"/>
        </w:rPr>
        <w:t xml:space="preserve"> от выявленных нарушений</w:t>
      </w:r>
      <w:r>
        <w:rPr>
          <w:rFonts w:ascii="Times New Roman" w:hAnsi="Times New Roman"/>
          <w:sz w:val="28"/>
        </w:rPr>
        <w:t xml:space="preserve">), что может быть квалифицировано как фактический ущерб в виде упущенной выгоды вследствие неэффективного управления финансовыми ресурсами. По сравнению с показателями </w:t>
      </w:r>
      <w:r>
        <w:rPr>
          <w:rFonts w:ascii="Times New Roman" w:hAnsi="Times New Roman"/>
          <w:sz w:val="28"/>
        </w:rPr>
        <w:t>2023</w:t>
      </w:r>
      <w:r>
        <w:rPr>
          <w:rFonts w:ascii="Times New Roman" w:hAnsi="Times New Roman"/>
          <w:sz w:val="28"/>
        </w:rPr>
        <w:t xml:space="preserve"> года (28244,85 тыс. рублей) объем недополученных доходов вырос в 3,6 раза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По результатам исполнения представления Контрольно-счетной палаты отраслевым (функциональным) органом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администрации Туапсинского округа проведена работа по взысканию дебиторской задолженности по платежам в бюджет на сумму </w:t>
      </w:r>
      <w:r>
        <w:rPr>
          <w:rFonts w:ascii="Times New Roman" w:hAnsi="Times New Roman"/>
          <w:sz w:val="28"/>
        </w:rPr>
        <w:t>17118,7</w:t>
      </w:r>
      <w:r>
        <w:rPr>
          <w:rFonts w:ascii="Times New Roman" w:hAnsi="Times New Roman"/>
          <w:sz w:val="28"/>
        </w:rPr>
        <w:t xml:space="preserve"> тыс. рублей или 17% от суммы недополученных доходов. Так же по результатам информации отраслевого функционального органа </w:t>
      </w:r>
      <w:r>
        <w:rPr>
          <w:rFonts w:ascii="Times New Roman" w:hAnsi="Times New Roman"/>
          <w:sz w:val="28"/>
        </w:rPr>
        <w:t>в арбитражных судах находятся 33  исковых заявления на сумму 37198,4 тыс. рублей (37% от суммы выявленных нарушений), на исполнении в Управлении Федеральной службы судебных приставов находится 62 исполнительных листа на сумму 18103,2 тыс. рублей (18% от суммы выявленных нарушений), правовым управлением администрации Туапсинского муниципального округа рассматривается вопрос о признании безнадежной к взысканию задолженности на сумму 10602,3 тыс. рублей (10,5 % от суммы выявленных нарушений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 физических лица признаны банкротами на сумму задолженность 21831,9 тыс. рублей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(21,7 % от суммы выявленных нарушений), в связи с чем администрации Туапсинского муниципального округа включена в реестр кредиторов. На основании проведенной работы сумма задолженности реальная к взысканию составляет 55301,6 тыс. рублей;</w:t>
      </w:r>
    </w:p>
    <w:p w14:paraId="8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нарушения в учете и отчетности на сумму </w:t>
      </w:r>
      <w:r>
        <w:rPr>
          <w:rFonts w:ascii="Times New Roman" w:hAnsi="Times New Roman"/>
          <w:sz w:val="28"/>
        </w:rPr>
        <w:t>68268,7</w:t>
      </w:r>
      <w:r>
        <w:rPr>
          <w:rFonts w:ascii="Times New Roman" w:hAnsi="Times New Roman"/>
          <w:sz w:val="28"/>
        </w:rPr>
        <w:t>тыс.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рублей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или </w:t>
      </w:r>
      <w:r>
        <w:rPr>
          <w:rFonts w:ascii="Times New Roman" w:hAnsi="Times New Roman"/>
          <w:sz w:val="28"/>
        </w:rPr>
        <w:t>34,8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%</w:t>
      </w:r>
      <w:r>
        <w:rPr>
          <w:rFonts w:ascii="Times New Roman" w:hAnsi="Times New Roman"/>
          <w:sz w:val="28"/>
        </w:rPr>
        <w:t xml:space="preserve"> от общей суммы установленных нарушений</w:t>
      </w:r>
      <w:r>
        <w:rPr>
          <w:rFonts w:ascii="Times New Roman" w:hAnsi="Times New Roman"/>
          <w:sz w:val="28"/>
        </w:rPr>
        <w:t>, повлиявшие на дост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верность отчет</w:t>
      </w:r>
      <w:r>
        <w:rPr>
          <w:rFonts w:ascii="Times New Roman" w:hAnsi="Times New Roman"/>
          <w:sz w:val="28"/>
        </w:rPr>
        <w:t>ности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Объектами контроля </w:t>
      </w:r>
      <w:r>
        <w:rPr>
          <w:rFonts w:ascii="Times New Roman" w:hAnsi="Times New Roman"/>
          <w:sz w:val="28"/>
        </w:rPr>
        <w:t>отражен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в бюджетном учете и отчетности недост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верная информация о кадастровой стоимости </w:t>
      </w:r>
      <w:r>
        <w:rPr>
          <w:rFonts w:ascii="Times New Roman" w:hAnsi="Times New Roman"/>
          <w:sz w:val="28"/>
        </w:rPr>
        <w:t>имущества принятого к учету, а также необоснованное списание имущества казны.</w:t>
      </w:r>
    </w:p>
    <w:p w14:paraId="8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полном объеме устранены нарушения при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управлении и использовании </w:t>
      </w:r>
      <w:r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имуществ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 сумму </w:t>
      </w:r>
      <w:r>
        <w:rPr>
          <w:rFonts w:ascii="Times New Roman" w:hAnsi="Times New Roman"/>
          <w:sz w:val="28"/>
        </w:rPr>
        <w:t>500,0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тыс.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рублей</w:t>
      </w:r>
      <w:r>
        <w:rPr>
          <w:rFonts w:ascii="Times New Roman" w:hAnsi="Times New Roman"/>
          <w:sz w:val="28"/>
        </w:rPr>
        <w:t xml:space="preserve"> или </w:t>
      </w:r>
      <w:r>
        <w:rPr>
          <w:rFonts w:ascii="Times New Roman" w:hAnsi="Times New Roman"/>
          <w:sz w:val="28"/>
        </w:rPr>
        <w:t>100,0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%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 общей суммы установленных нарушений</w:t>
      </w:r>
      <w:r>
        <w:rPr>
          <w:rFonts w:ascii="Times New Roman" w:hAnsi="Times New Roman"/>
          <w:sz w:val="28"/>
        </w:rPr>
        <w:t xml:space="preserve">, в том числе в результате нарушения порядка учета и ведения 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еестра муниципально</w:t>
      </w:r>
      <w:r>
        <w:rPr>
          <w:rFonts w:ascii="Times New Roman" w:hAnsi="Times New Roman"/>
          <w:sz w:val="28"/>
        </w:rPr>
        <w:t>й собственности</w:t>
      </w:r>
      <w:r>
        <w:rPr>
          <w:rFonts w:ascii="Times New Roman" w:hAnsi="Times New Roman"/>
          <w:sz w:val="28"/>
        </w:rPr>
        <w:t>.</w:t>
      </w:r>
    </w:p>
    <w:p w14:paraId="8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еэффективное использование бюджетных средств</w:t>
      </w:r>
      <w:r>
        <w:t xml:space="preserve"> </w:t>
      </w:r>
      <w:r>
        <w:rPr>
          <w:rFonts w:ascii="Times New Roman" w:hAnsi="Times New Roman"/>
          <w:sz w:val="28"/>
        </w:rPr>
        <w:t>в рамк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х контрольных мероприятий </w:t>
      </w:r>
      <w:r>
        <w:rPr>
          <w:rFonts w:ascii="Times New Roman" w:hAnsi="Times New Roman"/>
          <w:sz w:val="28"/>
        </w:rPr>
        <w:t>составило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23619,3</w:t>
      </w:r>
      <w:r>
        <w:rPr>
          <w:rFonts w:ascii="Times New Roman" w:hAnsi="Times New Roman"/>
          <w:sz w:val="28"/>
        </w:rPr>
        <w:t xml:space="preserve"> тыс.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рублей</w:t>
      </w:r>
      <w:r>
        <w:rPr>
          <w:rFonts w:ascii="Times New Roman" w:hAnsi="Times New Roman"/>
          <w:sz w:val="28"/>
        </w:rPr>
        <w:t xml:space="preserve"> или </w:t>
      </w:r>
      <w:r>
        <w:rPr>
          <w:rFonts w:ascii="Times New Roman" w:hAnsi="Times New Roman"/>
          <w:sz w:val="28"/>
        </w:rPr>
        <w:t>12,6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%</w:t>
      </w:r>
      <w:r>
        <w:rPr>
          <w:rFonts w:ascii="Times New Roman" w:hAnsi="Times New Roman"/>
          <w:sz w:val="28"/>
        </w:rPr>
        <w:t xml:space="preserve"> от общей суммы установленных нарушений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(расходы связанные с исполнением судебных решений в результате неэффективных управленческих решений должностных лиц администраций поселений Туапсинского района)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 </w:t>
      </w:r>
    </w:p>
    <w:p w14:paraId="88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 10 тематических контрольных мероприятий 5 были направлены на поверку целевого и эффективного использования средств бюджета предусмотренных на проведение капитальных ремонтов учреждений Туапсинского муниципального округа, в том числе 1 по запросу </w:t>
      </w:r>
      <w:r>
        <w:rPr>
          <w:rFonts w:ascii="Times New Roman" w:hAnsi="Times New Roman"/>
          <w:sz w:val="28"/>
        </w:rPr>
        <w:t xml:space="preserve">Управления по Краснодарскому краю г. Туапсе </w:t>
      </w:r>
      <w:r>
        <w:rPr>
          <w:rFonts w:ascii="Times New Roman" w:hAnsi="Times New Roman"/>
          <w:sz w:val="28"/>
        </w:rPr>
        <w:t>Федеральной службы безопасности Российской Федерации  (одно мероприятие является переходящим на 2026 год)</w:t>
      </w:r>
      <w:r>
        <w:rPr>
          <w:rFonts w:ascii="Times New Roman" w:hAnsi="Times New Roman"/>
          <w:sz w:val="28"/>
        </w:rPr>
        <w:t xml:space="preserve"> на сумму 74137,9 тыс. рублей</w:t>
      </w:r>
      <w:r>
        <w:rPr>
          <w:rFonts w:ascii="Times New Roman" w:hAnsi="Times New Roman"/>
          <w:sz w:val="28"/>
        </w:rPr>
        <w:t>.</w:t>
      </w:r>
    </w:p>
    <w:p w14:paraId="8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результате  проведенных мероприятий Контрольно-счетной палатой установлены следующие нарушения и замечания:</w:t>
      </w:r>
    </w:p>
    <w:p w14:paraId="8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проектной (сметной) документации осуществляется в нарушение требований нормативной базы действующих сметных нормативов;</w:t>
      </w:r>
    </w:p>
    <w:p w14:paraId="8B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нарушение под</w:t>
      </w:r>
      <w:r>
        <w:rPr>
          <w:rFonts w:ascii="Times New Roman" w:hAnsi="Times New Roman"/>
          <w:sz w:val="28"/>
        </w:rPr>
        <w:t>рядчиками сроков выполнения работ, при этом отсутствие требований заказчика об уплате штрафных санкций и неустойки;</w:t>
      </w:r>
    </w:p>
    <w:p w14:paraId="8C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неправомерно выполненные и оплаченные работы</w:t>
      </w:r>
      <w:r>
        <w:rPr>
          <w:rFonts w:ascii="Times New Roman" w:hAnsi="Times New Roman"/>
          <w:sz w:val="28"/>
        </w:rPr>
        <w:t>, выражающиеся в принятии и оплате работ не соответствующих сметной (проектной) документации</w:t>
      </w:r>
      <w:r>
        <w:rPr>
          <w:rFonts w:ascii="Times New Roman" w:hAnsi="Times New Roman"/>
          <w:sz w:val="28"/>
        </w:rPr>
        <w:t>;</w:t>
      </w:r>
    </w:p>
    <w:p w14:paraId="8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ненадлежащие</w:t>
      </w:r>
      <w:r>
        <w:rPr>
          <w:rFonts w:ascii="Times New Roman" w:hAnsi="Times New Roman"/>
          <w:sz w:val="28"/>
        </w:rPr>
        <w:t xml:space="preserve"> исполнение договоров (муниципальных контрактов) по осуществлению </w:t>
      </w:r>
      <w:r>
        <w:rPr>
          <w:rFonts w:ascii="Times New Roman" w:hAnsi="Times New Roman"/>
          <w:sz w:val="28"/>
        </w:rPr>
        <w:t>строительного контроля и авторского надзора.</w:t>
      </w:r>
    </w:p>
    <w:p w14:paraId="8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Указанные </w:t>
      </w:r>
      <w:r>
        <w:rPr>
          <w:rFonts w:ascii="Times New Roman" w:hAnsi="Times New Roman"/>
          <w:sz w:val="28"/>
        </w:rPr>
        <w:t xml:space="preserve">нарушения </w:t>
      </w:r>
      <w:r>
        <w:rPr>
          <w:rFonts w:ascii="Times New Roman" w:hAnsi="Times New Roman"/>
          <w:sz w:val="28"/>
        </w:rPr>
        <w:t>привели к неэффективному использованию бюджетных средств и неосновательному обогащению ряда подрядчиков.</w:t>
      </w:r>
    </w:p>
    <w:p w14:paraId="8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результатам </w:t>
      </w:r>
      <w:r>
        <w:rPr>
          <w:rFonts w:ascii="Times New Roman" w:hAnsi="Times New Roman"/>
          <w:sz w:val="28"/>
        </w:rPr>
        <w:t xml:space="preserve">данных </w:t>
      </w:r>
      <w:r>
        <w:rPr>
          <w:rFonts w:ascii="Times New Roman" w:hAnsi="Times New Roman"/>
          <w:sz w:val="28"/>
        </w:rPr>
        <w:t>контрольных мероприятий направлены представления 4-м объектам контроля по результатам которых:</w:t>
      </w:r>
    </w:p>
    <w:p w14:paraId="9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организациями осуществляющими строительный контроль возмещено в бюджет Туапсинского муниципального округа </w:t>
      </w:r>
      <w:r>
        <w:rPr>
          <w:rFonts w:ascii="Times New Roman" w:hAnsi="Times New Roman"/>
          <w:sz w:val="28"/>
        </w:rPr>
        <w:t>31,8</w:t>
      </w:r>
      <w:r>
        <w:rPr>
          <w:rFonts w:ascii="Times New Roman" w:hAnsi="Times New Roman"/>
          <w:sz w:val="28"/>
        </w:rPr>
        <w:t xml:space="preserve"> тыс. рублей из </w:t>
      </w:r>
      <w:r>
        <w:rPr>
          <w:rFonts w:ascii="Times New Roman" w:hAnsi="Times New Roman"/>
          <w:sz w:val="28"/>
        </w:rPr>
        <w:t>122,7</w:t>
      </w:r>
      <w:r>
        <w:rPr>
          <w:rFonts w:ascii="Times New Roman" w:hAnsi="Times New Roman"/>
          <w:sz w:val="28"/>
        </w:rPr>
        <w:t xml:space="preserve"> тыс. рублей выявленных нарушений или </w:t>
      </w:r>
      <w:r>
        <w:rPr>
          <w:rFonts w:ascii="Times New Roman" w:hAnsi="Times New Roman"/>
          <w:sz w:val="28"/>
        </w:rPr>
        <w:t xml:space="preserve">25,9 </w:t>
      </w:r>
      <w:r>
        <w:rPr>
          <w:rFonts w:ascii="Times New Roman" w:hAnsi="Times New Roman"/>
          <w:sz w:val="28"/>
        </w:rPr>
        <w:t>%;</w:t>
      </w:r>
    </w:p>
    <w:p w14:paraId="9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подрядчиками </w:t>
      </w:r>
      <w:r>
        <w:rPr>
          <w:rFonts w:ascii="Times New Roman" w:hAnsi="Times New Roman"/>
          <w:sz w:val="28"/>
        </w:rPr>
        <w:t xml:space="preserve">возмещено в бюджет Туапсинского муниципального округа </w:t>
      </w:r>
      <w:r>
        <w:rPr>
          <w:rFonts w:ascii="Times New Roman" w:hAnsi="Times New Roman"/>
          <w:sz w:val="28"/>
        </w:rPr>
        <w:t>49,1</w:t>
      </w:r>
      <w:r>
        <w:rPr>
          <w:rFonts w:ascii="Times New Roman" w:hAnsi="Times New Roman"/>
          <w:sz w:val="28"/>
        </w:rPr>
        <w:t xml:space="preserve"> тыс. рублей </w:t>
      </w:r>
      <w:r>
        <w:rPr>
          <w:rFonts w:ascii="Times New Roman" w:hAnsi="Times New Roman"/>
          <w:sz w:val="28"/>
        </w:rPr>
        <w:t xml:space="preserve">из </w:t>
      </w:r>
      <w:r>
        <w:rPr>
          <w:rFonts w:ascii="Times New Roman" w:hAnsi="Times New Roman"/>
          <w:sz w:val="28"/>
        </w:rPr>
        <w:t>11510,4</w:t>
      </w:r>
      <w:r>
        <w:rPr>
          <w:rFonts w:ascii="Times New Roman" w:hAnsi="Times New Roman"/>
          <w:sz w:val="28"/>
        </w:rPr>
        <w:t xml:space="preserve"> тыс. рубл</w:t>
      </w:r>
      <w:r>
        <w:rPr>
          <w:rFonts w:ascii="Times New Roman" w:hAnsi="Times New Roman"/>
          <w:sz w:val="28"/>
        </w:rPr>
        <w:t>ей выявленных нарушений или</w:t>
      </w: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0,4 </w:t>
      </w:r>
      <w:r>
        <w:rPr>
          <w:rFonts w:ascii="Times New Roman" w:hAnsi="Times New Roman"/>
          <w:sz w:val="28"/>
        </w:rPr>
        <w:t xml:space="preserve">%; </w:t>
      </w:r>
    </w:p>
    <w:p w14:paraId="9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заказчиками направлены исковые заявление в арбитражный суд о возмещении неосновательного обогащения, а также штрафов и неусто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на сумму </w:t>
      </w:r>
      <w:r>
        <w:rPr>
          <w:rFonts w:ascii="Times New Roman" w:hAnsi="Times New Roman"/>
          <w:sz w:val="28"/>
        </w:rPr>
        <w:t>11552,3</w:t>
      </w:r>
      <w:r>
        <w:rPr>
          <w:rFonts w:ascii="Times New Roman" w:hAnsi="Times New Roman"/>
          <w:sz w:val="28"/>
        </w:rPr>
        <w:t xml:space="preserve"> тыс. рублей</w:t>
      </w:r>
      <w:r>
        <w:rPr>
          <w:rFonts w:ascii="Times New Roman" w:hAnsi="Times New Roman"/>
          <w:sz w:val="28"/>
        </w:rPr>
        <w:t xml:space="preserve"> или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99,3%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14:paraId="93000000">
      <w:pPr>
        <w:spacing w:after="0" w:line="240" w:lineRule="auto"/>
        <w:ind w:firstLine="709" w:left="0"/>
        <w:jc w:val="both"/>
      </w:pPr>
      <w:r>
        <w:rPr>
          <w:rFonts w:ascii="Times New Roman" w:hAnsi="Times New Roman"/>
          <w:sz w:val="28"/>
        </w:rPr>
        <w:t xml:space="preserve">По результатам рассмотрения </w:t>
      </w:r>
      <w:r>
        <w:rPr>
          <w:rFonts w:ascii="Times New Roman" w:hAnsi="Times New Roman"/>
          <w:sz w:val="28"/>
        </w:rPr>
        <w:t xml:space="preserve">всех </w:t>
      </w:r>
      <w:r>
        <w:rPr>
          <w:rFonts w:ascii="Times New Roman" w:hAnsi="Times New Roman"/>
          <w:sz w:val="28"/>
        </w:rPr>
        <w:t xml:space="preserve">материалов проверок давались соответствующие поручения по устранению недостатков и нарушений, выявленных в ходе контрольных мероприятий, </w:t>
      </w:r>
      <w:r>
        <w:rPr>
          <w:rFonts w:ascii="Times New Roman" w:hAnsi="Times New Roman"/>
          <w:sz w:val="28"/>
        </w:rPr>
        <w:t xml:space="preserve">объектами контроля </w:t>
      </w:r>
      <w:r>
        <w:rPr>
          <w:rFonts w:ascii="Times New Roman" w:hAnsi="Times New Roman"/>
          <w:sz w:val="28"/>
        </w:rPr>
        <w:t>принимались решения о принятии необходимых мер.</w:t>
      </w:r>
    </w:p>
    <w:p w14:paraId="9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95000000">
      <w:pPr>
        <w:spacing w:after="0" w:line="240" w:lineRule="auto"/>
        <w:ind w:firstLine="709" w:left="0"/>
        <w:jc w:val="center"/>
      </w:pPr>
      <w:r>
        <w:rPr>
          <w:rFonts w:ascii="Times New Roman" w:hAnsi="Times New Roman"/>
          <w:b w:val="1"/>
          <w:sz w:val="28"/>
        </w:rPr>
        <w:t>Экспертно-аналитическая деятельность</w:t>
      </w:r>
    </w:p>
    <w:p w14:paraId="9600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  <w:sz w:val="28"/>
        </w:rPr>
      </w:pPr>
    </w:p>
    <w:p w14:paraId="9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году проведено 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экспертн</w:t>
      </w:r>
      <w:r>
        <w:rPr>
          <w:rFonts w:ascii="Times New Roman" w:hAnsi="Times New Roman"/>
          <w:sz w:val="28"/>
        </w:rPr>
        <w:t>о-аналитическ</w:t>
      </w:r>
      <w:r>
        <w:rPr>
          <w:rFonts w:ascii="Times New Roman" w:hAnsi="Times New Roman"/>
          <w:sz w:val="28"/>
        </w:rPr>
        <w:t>их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мероприяти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Объем средств охваченный э</w:t>
      </w:r>
      <w:r>
        <w:rPr>
          <w:rFonts w:ascii="Times New Roman" w:hAnsi="Times New Roman"/>
          <w:sz w:val="28"/>
        </w:rPr>
        <w:t>ксперт</w:t>
      </w:r>
      <w:r>
        <w:rPr>
          <w:rFonts w:ascii="Times New Roman" w:hAnsi="Times New Roman"/>
          <w:sz w:val="28"/>
        </w:rPr>
        <w:t>ными мероприятиями составил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26660889,0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тыс. рублей. </w:t>
      </w:r>
    </w:p>
    <w:p w14:paraId="98000000">
      <w:pPr>
        <w:spacing w:after="0" w:line="240" w:lineRule="auto"/>
        <w:ind w:firstLine="709" w:left="0"/>
        <w:jc w:val="both"/>
      </w:pPr>
      <w:r>
        <w:rPr>
          <w:rFonts w:ascii="Times New Roman" w:hAnsi="Times New Roman"/>
          <w:sz w:val="28"/>
        </w:rPr>
        <w:t>В составе комплекса экспертно-аналитических мероприятий, проведенных Контрольно-счетной палатой в отчетном периоде, вошли мероприятия, предусмотренные бюджетным законодательством, а именно:</w:t>
      </w:r>
    </w:p>
    <w:p w14:paraId="9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ходе исполнения бюджета – 14 мероприятий;</w:t>
      </w:r>
    </w:p>
    <w:p w14:paraId="9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экспертиза проектов решений</w:t>
      </w:r>
      <w:r>
        <w:rPr>
          <w:rFonts w:ascii="Times New Roman" w:hAnsi="Times New Roman"/>
          <w:sz w:val="28"/>
        </w:rPr>
        <w:t xml:space="preserve"> о внесении</w:t>
      </w:r>
      <w:r>
        <w:rPr>
          <w:rFonts w:ascii="Times New Roman" w:hAnsi="Times New Roman"/>
          <w:sz w:val="28"/>
        </w:rPr>
        <w:t xml:space="preserve">  изменений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местн</w:t>
      </w:r>
      <w:r>
        <w:rPr>
          <w:rFonts w:ascii="Times New Roman" w:hAnsi="Times New Roman"/>
          <w:sz w:val="28"/>
        </w:rPr>
        <w:t>ый</w:t>
      </w:r>
      <w:r>
        <w:rPr>
          <w:rFonts w:ascii="Times New Roman" w:hAnsi="Times New Roman"/>
          <w:sz w:val="28"/>
        </w:rPr>
        <w:t xml:space="preserve"> бюджет – 1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мероприятий;</w:t>
      </w:r>
    </w:p>
    <w:p w14:paraId="9B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9C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экспертиза проект</w:t>
      </w:r>
      <w:r>
        <w:rPr>
          <w:rFonts w:ascii="Times New Roman" w:hAnsi="Times New Roman"/>
          <w:sz w:val="28"/>
        </w:rPr>
        <w:t>а решения Совета на 202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 и </w:t>
      </w:r>
      <w:r>
        <w:rPr>
          <w:rFonts w:ascii="Times New Roman" w:hAnsi="Times New Roman"/>
          <w:sz w:val="28"/>
        </w:rPr>
        <w:t xml:space="preserve">на </w:t>
      </w:r>
      <w:r>
        <w:rPr>
          <w:rFonts w:ascii="Times New Roman" w:hAnsi="Times New Roman"/>
          <w:sz w:val="28"/>
        </w:rPr>
        <w:t>плановый период 202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 и 202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 г</w:t>
      </w:r>
      <w:r>
        <w:rPr>
          <w:rFonts w:ascii="Times New Roman" w:hAnsi="Times New Roman"/>
          <w:sz w:val="28"/>
        </w:rPr>
        <w:t>одов</w:t>
      </w:r>
      <w:r>
        <w:rPr>
          <w:rFonts w:ascii="Times New Roman" w:hAnsi="Times New Roman"/>
          <w:sz w:val="28"/>
        </w:rPr>
        <w:t>;</w:t>
      </w:r>
    </w:p>
    <w:p w14:paraId="9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финансово-экономическая экспертиза </w:t>
      </w:r>
      <w:r>
        <w:rPr>
          <w:rFonts w:ascii="Times New Roman" w:hAnsi="Times New Roman"/>
          <w:sz w:val="28"/>
        </w:rPr>
        <w:t>проект</w:t>
      </w:r>
      <w:r>
        <w:rPr>
          <w:rFonts w:ascii="Times New Roman" w:hAnsi="Times New Roman"/>
          <w:sz w:val="28"/>
        </w:rPr>
        <w:t>ов</w:t>
      </w:r>
      <w:r>
        <w:rPr>
          <w:rFonts w:ascii="Times New Roman" w:hAnsi="Times New Roman"/>
          <w:sz w:val="28"/>
        </w:rPr>
        <w:t xml:space="preserve"> муниципальн</w:t>
      </w:r>
      <w:r>
        <w:rPr>
          <w:rFonts w:ascii="Times New Roman" w:hAnsi="Times New Roman"/>
          <w:sz w:val="28"/>
        </w:rPr>
        <w:t>ых</w:t>
      </w:r>
      <w:r>
        <w:rPr>
          <w:rFonts w:ascii="Times New Roman" w:hAnsi="Times New Roman"/>
          <w:sz w:val="28"/>
        </w:rPr>
        <w:t xml:space="preserve"> программ.</w:t>
      </w:r>
      <w:r>
        <w:rPr>
          <w:rFonts w:ascii="Times New Roman" w:hAnsi="Times New Roman"/>
          <w:sz w:val="28"/>
        </w:rPr>
        <w:t xml:space="preserve"> </w:t>
      </w:r>
    </w:p>
    <w:p w14:paraId="9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рамках экспертно-аналитических мероприятий проверками охвачено 70 объектов контроля, в том числе 25 органов местного самоуправления, 37 муниципальных учреждений и 8 социально-ориентированных некоммерческих организаций</w:t>
      </w:r>
      <w:r>
        <w:rPr>
          <w:rFonts w:ascii="Times New Roman" w:hAnsi="Times New Roman"/>
          <w:sz w:val="28"/>
        </w:rPr>
        <w:t>.</w:t>
      </w:r>
    </w:p>
    <w:p w14:paraId="9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Особое внимание Контрольно-счетная палата удел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ла</w:t>
      </w:r>
      <w:r>
        <w:rPr>
          <w:rFonts w:ascii="Times New Roman" w:hAnsi="Times New Roman"/>
          <w:sz w:val="28"/>
        </w:rPr>
        <w:t xml:space="preserve"> проведению </w:t>
      </w:r>
      <w:r>
        <w:rPr>
          <w:rFonts w:ascii="Times New Roman" w:hAnsi="Times New Roman"/>
          <w:sz w:val="28"/>
        </w:rPr>
        <w:t>экспертизы проект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бюджет</w:t>
      </w:r>
      <w:r>
        <w:rPr>
          <w:rFonts w:ascii="Times New Roman" w:hAnsi="Times New Roman"/>
          <w:sz w:val="28"/>
        </w:rPr>
        <w:t>а Туапсинск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муниципальн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округ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 результатам экспертно-аналитического мероприятия Палатой </w:t>
      </w:r>
      <w:r>
        <w:rPr>
          <w:rFonts w:ascii="Times New Roman" w:hAnsi="Times New Roman"/>
          <w:sz w:val="28"/>
        </w:rPr>
        <w:t>установлены</w:t>
      </w:r>
      <w:r>
        <w:rPr>
          <w:rFonts w:ascii="Times New Roman" w:hAnsi="Times New Roman"/>
          <w:sz w:val="28"/>
        </w:rPr>
        <w:t>:</w:t>
      </w:r>
    </w:p>
    <w:p w14:paraId="A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факт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 занижения расчетных показателей прогноза ряда доходов бюджета Туапсинского муниципального округа, предусмотренных Методикой администрации Туапсинского муниципального округа</w:t>
      </w:r>
      <w:r>
        <w:rPr>
          <w:rFonts w:ascii="Times New Roman" w:hAnsi="Times New Roman"/>
          <w:sz w:val="28"/>
        </w:rPr>
        <w:t>;</w:t>
      </w:r>
    </w:p>
    <w:p w14:paraId="A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несоответствие предусмотренного проектом бюджета объема финансирования паспортам 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муниципальн</w:t>
      </w:r>
      <w:r>
        <w:rPr>
          <w:rFonts w:ascii="Times New Roman" w:hAnsi="Times New Roman"/>
          <w:sz w:val="28"/>
        </w:rPr>
        <w:t>ой</w:t>
      </w:r>
      <w:r>
        <w:rPr>
          <w:rFonts w:ascii="Times New Roman" w:hAnsi="Times New Roman"/>
          <w:sz w:val="28"/>
        </w:rPr>
        <w:t xml:space="preserve"> программ</w:t>
      </w:r>
      <w:r>
        <w:rPr>
          <w:rFonts w:ascii="Times New Roman" w:hAnsi="Times New Roman"/>
          <w:sz w:val="28"/>
        </w:rPr>
        <w:t>ы;</w:t>
      </w:r>
    </w:p>
    <w:p w14:paraId="A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становлен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нарушение применения бюджетной кла</w:t>
      </w:r>
      <w:r>
        <w:rPr>
          <w:rFonts w:ascii="Times New Roman" w:hAnsi="Times New Roman"/>
          <w:sz w:val="28"/>
        </w:rPr>
        <w:t>ссификации Российской Федерации;</w:t>
      </w:r>
    </w:p>
    <w:p w14:paraId="A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установлены нарушения порядка формирования муниципальных заданий</w:t>
      </w:r>
      <w:r>
        <w:t xml:space="preserve"> </w:t>
      </w:r>
      <w:r>
        <w:rPr>
          <w:rFonts w:ascii="Times New Roman" w:hAnsi="Times New Roman"/>
          <w:sz w:val="28"/>
        </w:rPr>
        <w:t>на оказание муниципальных услуг (выполнение работ) в отношении муниципальных учреждений Туапсинского муниципального округа и финансового обеспечения выполнения муниципального задания</w:t>
      </w:r>
      <w:r>
        <w:rPr>
          <w:rFonts w:ascii="Times New Roman" w:hAnsi="Times New Roman"/>
          <w:sz w:val="28"/>
        </w:rPr>
        <w:t>.</w:t>
      </w:r>
    </w:p>
    <w:p w14:paraId="A4000000">
      <w:pPr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Контрольно-счетной палатой</w:t>
      </w:r>
      <w:r>
        <w:rPr>
          <w:rFonts w:ascii="Times New Roman" w:hAnsi="Times New Roman"/>
          <w:sz w:val="28"/>
        </w:rPr>
        <w:t xml:space="preserve"> в </w:t>
      </w:r>
      <w:r>
        <w:rPr>
          <w:rFonts w:ascii="Times New Roman" w:hAnsi="Times New Roman"/>
          <w:sz w:val="28"/>
        </w:rPr>
        <w:t>течение 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года проводились экспертизы проектов решений о внесения изменений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бюджет Туапсинск</w:t>
      </w:r>
      <w:r>
        <w:rPr>
          <w:rFonts w:ascii="Times New Roman" w:hAnsi="Times New Roman"/>
          <w:sz w:val="28"/>
        </w:rPr>
        <w:t>ого муниципального округа</w:t>
      </w:r>
      <w:r>
        <w:rPr>
          <w:rFonts w:ascii="Times New Roman" w:hAnsi="Times New Roman"/>
          <w:sz w:val="28"/>
        </w:rPr>
        <w:t>. П</w:t>
      </w:r>
      <w:r>
        <w:rPr>
          <w:rFonts w:ascii="Times New Roman" w:hAnsi="Times New Roman"/>
          <w:sz w:val="28"/>
        </w:rPr>
        <w:t xml:space="preserve">о результатам </w:t>
      </w:r>
      <w:r>
        <w:rPr>
          <w:rFonts w:ascii="Times New Roman" w:hAnsi="Times New Roman"/>
          <w:sz w:val="28"/>
        </w:rPr>
        <w:t>данных</w:t>
      </w:r>
      <w:r>
        <w:rPr>
          <w:rFonts w:ascii="Times New Roman" w:hAnsi="Times New Roman"/>
          <w:sz w:val="28"/>
        </w:rPr>
        <w:t xml:space="preserve"> мероприятий </w:t>
      </w:r>
      <w:r>
        <w:rPr>
          <w:rFonts w:ascii="Times New Roman" w:hAnsi="Times New Roman"/>
          <w:sz w:val="28"/>
        </w:rPr>
        <w:t>предотвращен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неэффективно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использование</w:t>
      </w:r>
      <w:r>
        <w:rPr>
          <w:rFonts w:ascii="Times New Roman" w:hAnsi="Times New Roman"/>
          <w:sz w:val="28"/>
        </w:rPr>
        <w:t xml:space="preserve"> бюджетных</w:t>
      </w:r>
      <w:r>
        <w:rPr>
          <w:rFonts w:ascii="Times New Roman" w:hAnsi="Times New Roman"/>
          <w:sz w:val="28"/>
        </w:rPr>
        <w:t xml:space="preserve"> средств </w:t>
      </w:r>
      <w:r>
        <w:rPr>
          <w:rFonts w:ascii="Times New Roman" w:hAnsi="Times New Roman"/>
          <w:sz w:val="28"/>
        </w:rPr>
        <w:t>в объеме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14146,7</w:t>
      </w:r>
      <w:r>
        <w:rPr>
          <w:rFonts w:ascii="Times New Roman" w:hAnsi="Times New Roman"/>
          <w:sz w:val="28"/>
        </w:rPr>
        <w:t xml:space="preserve"> тыс. рублей.</w:t>
      </w:r>
    </w:p>
    <w:p w14:paraId="A5000000">
      <w:pPr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течени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2025 года Контрольно-счетной палатой проведено                            5 тематических экспертно-аналитических мероприятий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(одно мероприятие является переходящим на 2026 год)</w:t>
      </w:r>
      <w:r>
        <w:rPr>
          <w:rFonts w:ascii="Times New Roman" w:hAnsi="Times New Roman"/>
          <w:sz w:val="28"/>
        </w:rPr>
        <w:t>, 2</w:t>
      </w:r>
      <w:r>
        <w:rPr>
          <w:rFonts w:ascii="Times New Roman" w:hAnsi="Times New Roman"/>
          <w:sz w:val="28"/>
        </w:rPr>
        <w:t xml:space="preserve"> (два)</w:t>
      </w:r>
      <w:r>
        <w:rPr>
          <w:rFonts w:ascii="Times New Roman" w:hAnsi="Times New Roman"/>
          <w:sz w:val="28"/>
        </w:rPr>
        <w:t xml:space="preserve"> из которых на основании обращения Совета и 1</w:t>
      </w:r>
      <w:r>
        <w:rPr>
          <w:rFonts w:ascii="Times New Roman" w:hAnsi="Times New Roman"/>
          <w:sz w:val="28"/>
        </w:rPr>
        <w:t xml:space="preserve"> (одно)</w:t>
      </w:r>
      <w:r>
        <w:rPr>
          <w:rFonts w:ascii="Times New Roman" w:hAnsi="Times New Roman"/>
          <w:sz w:val="28"/>
        </w:rPr>
        <w:t xml:space="preserve"> в формате параллельного экспертно-аналитического мероприятия с Контрольно-счетной палатой Краснодарского края.</w:t>
      </w:r>
    </w:p>
    <w:p w14:paraId="A6000000">
      <w:pPr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Экспертными мероприятиями были охвачены следующие темы:</w:t>
      </w:r>
    </w:p>
    <w:p w14:paraId="A7000000">
      <w:pPr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На основании запроса Совета:</w:t>
      </w:r>
    </w:p>
    <w:p w14:paraId="A8000000">
      <w:pPr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Анализ организации уборки территорий населенных пунктов Туапсинского муниципального округа (охвачено 3 объекта).</w:t>
      </w:r>
    </w:p>
    <w:p w14:paraId="A9000000">
      <w:pPr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мероприятия установлены следующие</w:t>
      </w:r>
      <w:r>
        <w:rPr>
          <w:rFonts w:ascii="Times New Roman" w:hAnsi="Times New Roman"/>
          <w:sz w:val="28"/>
        </w:rPr>
        <w:t xml:space="preserve"> нарушения и</w:t>
      </w:r>
      <w:r>
        <w:rPr>
          <w:rFonts w:ascii="Times New Roman" w:hAnsi="Times New Roman"/>
          <w:sz w:val="28"/>
        </w:rPr>
        <w:t xml:space="preserve"> замечания:</w:t>
      </w:r>
    </w:p>
    <w:p w14:paraId="AA000000">
      <w:pPr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несоответствие уставной деятельности фактически осуществляемой;</w:t>
      </w:r>
    </w:p>
    <w:p w14:paraId="AB000000">
      <w:pPr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положения об оплате труда муниципальных учреждений не соответствуют нормативному правовому акту администрации Туапсинского муниципального округа;</w:t>
      </w:r>
    </w:p>
    <w:p w14:paraId="AC000000">
      <w:pPr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отсутствие локальных нормативных актов</w:t>
      </w:r>
      <w:r>
        <w:rPr>
          <w:rFonts w:ascii="Times New Roman" w:hAnsi="Times New Roman"/>
          <w:sz w:val="28"/>
        </w:rPr>
        <w:t>, связанны</w:t>
      </w:r>
      <w:r>
        <w:rPr>
          <w:rFonts w:ascii="Times New Roman" w:hAnsi="Times New Roman"/>
          <w:sz w:val="28"/>
        </w:rPr>
        <w:t>х</w:t>
      </w:r>
      <w:r>
        <w:rPr>
          <w:rFonts w:ascii="Times New Roman" w:hAnsi="Times New Roman"/>
          <w:sz w:val="28"/>
        </w:rPr>
        <w:t xml:space="preserve"> с исполнением муниципального задания, в том числе по установлению норм нагрузки,  утверждению графиков работ, закреплению территорий, актов выполненных рабо</w:t>
      </w:r>
      <w:r>
        <w:rPr>
          <w:rFonts w:ascii="Times New Roman" w:hAnsi="Times New Roman"/>
          <w:sz w:val="28"/>
        </w:rPr>
        <w:t>т и нарядов-заданий;</w:t>
      </w:r>
    </w:p>
    <w:p w14:paraId="AD000000">
      <w:pPr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нарушение условий оплаты труда работников, а также оформления внутреннего совмещения и совместительства;</w:t>
      </w:r>
    </w:p>
    <w:p w14:paraId="AE000000">
      <w:pPr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отсутствие развития платной деятельности.</w:t>
      </w:r>
    </w:p>
    <w:p w14:paraId="AF000000">
      <w:pPr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экспертного мероприятия произведен перерасчет необоснованных расходов по оплате труда сотрудников в размере 2301,9 тыс. рублей.</w:t>
      </w:r>
    </w:p>
    <w:p w14:paraId="B0000000">
      <w:pPr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1.2. Анализ использования транспортных средств, в целях обеспечения деятельности органов местного самоуправления (охвачено 13 объектов).</w:t>
      </w:r>
    </w:p>
    <w:p w14:paraId="B1000000">
      <w:pPr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мероприятия установлены следующие замечания:</w:t>
      </w:r>
    </w:p>
    <w:p w14:paraId="B2000000">
      <w:pPr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Туапсинском муниципальном округе осуществляют деятельность </w:t>
      </w:r>
      <w:r>
        <w:rPr>
          <w:rFonts w:ascii="Times New Roman" w:hAnsi="Times New Roman"/>
          <w:sz w:val="28"/>
        </w:rPr>
        <w:t xml:space="preserve">                   </w:t>
      </w:r>
      <w:r>
        <w:rPr>
          <w:rFonts w:ascii="Times New Roman" w:hAnsi="Times New Roman"/>
          <w:sz w:val="28"/>
        </w:rPr>
        <w:t>2 муниципальных казенных учреждения</w:t>
      </w:r>
      <w:r>
        <w:t xml:space="preserve"> </w:t>
      </w:r>
      <w:r>
        <w:rPr>
          <w:rFonts w:ascii="Times New Roman" w:hAnsi="Times New Roman"/>
          <w:sz w:val="28"/>
        </w:rPr>
        <w:t>с д</w:t>
      </w:r>
      <w:r>
        <w:rPr>
          <w:rFonts w:ascii="Times New Roman" w:hAnsi="Times New Roman"/>
          <w:sz w:val="28"/>
        </w:rPr>
        <w:t>ублирующими уставными функциями;</w:t>
      </w:r>
    </w:p>
    <w:p w14:paraId="B3000000">
      <w:pPr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несоответствие уставной деятельности фактически осуществляемой</w:t>
      </w:r>
      <w:r>
        <w:rPr>
          <w:rFonts w:ascii="Times New Roman" w:hAnsi="Times New Roman"/>
          <w:sz w:val="28"/>
        </w:rPr>
        <w:t>;</w:t>
      </w:r>
    </w:p>
    <w:p w14:paraId="B4000000">
      <w:pPr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необоснованное списание транспортного средства;</w:t>
      </w:r>
    </w:p>
    <w:p w14:paraId="B5000000">
      <w:pPr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наличие </w:t>
      </w:r>
      <w:r>
        <w:rPr>
          <w:rFonts w:ascii="Times New Roman" w:hAnsi="Times New Roman"/>
          <w:sz w:val="28"/>
        </w:rPr>
        <w:t>запретов  на регистрационные действия (исполнительные производства)</w:t>
      </w:r>
      <w:r>
        <w:rPr>
          <w:rFonts w:ascii="Times New Roman" w:hAnsi="Times New Roman"/>
          <w:sz w:val="28"/>
        </w:rPr>
        <w:t xml:space="preserve"> по 3-м транспортным средствам</w:t>
      </w:r>
      <w:r>
        <w:rPr>
          <w:rFonts w:ascii="Times New Roman" w:hAnsi="Times New Roman"/>
          <w:sz w:val="28"/>
        </w:rPr>
        <w:t>, в связи неоплаченными штрафами</w:t>
      </w:r>
      <w:r>
        <w:rPr>
          <w:rFonts w:ascii="Times New Roman" w:hAnsi="Times New Roman"/>
          <w:sz w:val="28"/>
        </w:rPr>
        <w:t>.</w:t>
      </w:r>
    </w:p>
    <w:p w14:paraId="B6000000">
      <w:pPr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t xml:space="preserve"> </w:t>
      </w:r>
      <w:r>
        <w:rPr>
          <w:rFonts w:ascii="Times New Roman" w:hAnsi="Times New Roman"/>
          <w:sz w:val="28"/>
        </w:rPr>
        <w:t>В формате параллельного экспертно-аналитического мероприятия с Контрольно-счет</w:t>
      </w:r>
      <w:r>
        <w:rPr>
          <w:rFonts w:ascii="Times New Roman" w:hAnsi="Times New Roman"/>
          <w:sz w:val="28"/>
        </w:rPr>
        <w:t>ной палатой Краснодарского края проведен анализ планирования и использования средств на финансовое обеспечение проведения углубленных медицинских осмотров</w:t>
      </w:r>
      <w:r>
        <w:rPr>
          <w:rFonts w:ascii="Times New Roman" w:hAnsi="Times New Roman"/>
          <w:sz w:val="28"/>
        </w:rPr>
        <w:t xml:space="preserve"> лиц, занимающихся физической культурой (охвачено 11 спортивных школ). По результатам мероприятия установлено:</w:t>
      </w:r>
    </w:p>
    <w:p w14:paraId="B7000000">
      <w:pPr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на должном уровне осуществляется организация и прохождение углубленных медицинских осмотров обучающихся</w:t>
      </w:r>
      <w:r>
        <w:rPr>
          <w:rFonts w:ascii="Times New Roman" w:hAnsi="Times New Roman"/>
          <w:sz w:val="28"/>
        </w:rPr>
        <w:t>;</w:t>
      </w:r>
    </w:p>
    <w:p w14:paraId="B8000000">
      <w:pPr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ри подписании актов взаимных расчетов с государственным бюджетным учреж</w:t>
      </w:r>
      <w:r>
        <w:rPr>
          <w:rFonts w:ascii="Times New Roman" w:hAnsi="Times New Roman"/>
          <w:sz w:val="28"/>
        </w:rPr>
        <w:t>дением здравоохранения</w:t>
      </w:r>
      <w:r>
        <w:rPr>
          <w:rFonts w:ascii="Times New Roman" w:hAnsi="Times New Roman"/>
          <w:sz w:val="28"/>
        </w:rPr>
        <w:t xml:space="preserve"> не осуществляется сверка обучающихся фактически прошедших углубленный медицинский осмотр, а также реквизитов указ</w:t>
      </w:r>
      <w:r>
        <w:rPr>
          <w:rFonts w:ascii="Times New Roman" w:hAnsi="Times New Roman"/>
          <w:sz w:val="28"/>
        </w:rPr>
        <w:t>анных в медицинских заключениях;</w:t>
      </w:r>
    </w:p>
    <w:p w14:paraId="B9000000">
      <w:pPr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излишне уплаченны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средств за организацию углубленных м</w:t>
      </w:r>
      <w:r>
        <w:rPr>
          <w:rFonts w:ascii="Times New Roman" w:hAnsi="Times New Roman"/>
          <w:sz w:val="28"/>
        </w:rPr>
        <w:t xml:space="preserve">едицинских осмотров на сумму 265,0 тыс. </w:t>
      </w:r>
      <w:r>
        <w:rPr>
          <w:rFonts w:ascii="Times New Roman" w:hAnsi="Times New Roman"/>
          <w:sz w:val="28"/>
        </w:rPr>
        <w:t>рублей</w:t>
      </w:r>
      <w:r>
        <w:rPr>
          <w:rFonts w:ascii="Times New Roman" w:hAnsi="Times New Roman"/>
          <w:sz w:val="28"/>
        </w:rPr>
        <w:t>, возмещены на счета учреждений в полном объеме.</w:t>
      </w:r>
    </w:p>
    <w:p w14:paraId="BA000000">
      <w:pPr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На основании параллельного мероприятия с Контрольно-счетной палатой Краснодарского края было проведено дополнительное мероприятия по анализу планирования и использования средств на финансовое обеспечение проведение предварительных и периодических смотров лиц, занимающихся физической культурой </w:t>
      </w:r>
      <w:r>
        <w:rPr>
          <w:rFonts w:ascii="Times New Roman" w:hAnsi="Times New Roman"/>
          <w:sz w:val="28"/>
        </w:rPr>
        <w:t>(охвачено 11 спортивных школ). По рез</w:t>
      </w:r>
      <w:r>
        <w:rPr>
          <w:rFonts w:ascii="Times New Roman" w:hAnsi="Times New Roman"/>
          <w:sz w:val="28"/>
        </w:rPr>
        <w:t>ультатам мероприятия установлены аналогичные замечания как при проведении углубленных медицинских осмотров. Излишне уплаченные средства в сумме 71,6 тыс. рублей</w:t>
      </w:r>
      <w:r>
        <w:t xml:space="preserve"> </w:t>
      </w:r>
      <w:r>
        <w:rPr>
          <w:rFonts w:ascii="Times New Roman" w:hAnsi="Times New Roman"/>
          <w:sz w:val="28"/>
        </w:rPr>
        <w:t>возмещены на счета учреждений в полном объеме.</w:t>
      </w:r>
    </w:p>
    <w:p w14:paraId="BB000000">
      <w:pPr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Одним из значимых экспертно-аналитических мероприятий проведенных Контрольно-счетной палатой в 2025 году стал анализ использования муниципального имущества переданного в безвозмездное пользование социально-ориентированным реестровым казачьим обществам Туапсинского муниципального округа (охвачено 8 объектов).</w:t>
      </w:r>
    </w:p>
    <w:p w14:paraId="BC000000">
      <w:pPr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результате проверки установлено, что обществам на безвозмездной основе были предоставлены:</w:t>
      </w:r>
    </w:p>
    <w:p w14:paraId="BD000000">
      <w:pPr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нежилые помещения по адресам: </w:t>
      </w:r>
      <w:r>
        <w:rPr>
          <w:rFonts w:ascii="Times New Roman" w:hAnsi="Times New Roman"/>
          <w:sz w:val="28"/>
        </w:rPr>
        <w:t xml:space="preserve">г. Туапсе, ул. Гоголя, д. 7/3, </w:t>
      </w:r>
      <w:r>
        <w:rPr>
          <w:rFonts w:ascii="Times New Roman" w:hAnsi="Times New Roman"/>
          <w:sz w:val="28"/>
        </w:rPr>
        <w:t xml:space="preserve">литер А (общей площадью </w:t>
      </w:r>
      <w:r>
        <w:rPr>
          <w:rFonts w:ascii="Times New Roman" w:hAnsi="Times New Roman"/>
          <w:sz w:val="28"/>
        </w:rPr>
        <w:t>148,64 кв.м</w:t>
      </w:r>
      <w:r>
        <w:rPr>
          <w:rFonts w:ascii="Times New Roman" w:hAnsi="Times New Roman"/>
          <w:sz w:val="28"/>
        </w:rPr>
        <w:t xml:space="preserve">), </w:t>
      </w:r>
      <w:r>
        <w:rPr>
          <w:rFonts w:ascii="Times New Roman" w:hAnsi="Times New Roman"/>
          <w:sz w:val="28"/>
        </w:rPr>
        <w:t>пгт. Джубга, ул. Советская, д.31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(общей площадью </w:t>
      </w:r>
      <w:r>
        <w:rPr>
          <w:rFonts w:ascii="Times New Roman" w:hAnsi="Times New Roman"/>
          <w:sz w:val="28"/>
        </w:rPr>
        <w:t>26,1</w:t>
      </w:r>
      <w:r>
        <w:rPr>
          <w:rFonts w:ascii="Times New Roman" w:hAnsi="Times New Roman"/>
          <w:sz w:val="28"/>
        </w:rPr>
        <w:t xml:space="preserve"> кв.м)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с. Вольное, ул. Лесная, 1</w:t>
      </w:r>
      <w:r>
        <w:t xml:space="preserve"> </w:t>
      </w:r>
      <w:r>
        <w:rPr>
          <w:rFonts w:ascii="Times New Roman" w:hAnsi="Times New Roman"/>
          <w:sz w:val="28"/>
        </w:rPr>
        <w:t xml:space="preserve">(общей площадью </w:t>
      </w:r>
      <w:r>
        <w:rPr>
          <w:rFonts w:ascii="Times New Roman" w:hAnsi="Times New Roman"/>
          <w:sz w:val="28"/>
        </w:rPr>
        <w:t>1245,8</w:t>
      </w:r>
      <w:r>
        <w:rPr>
          <w:rFonts w:ascii="Times New Roman" w:hAnsi="Times New Roman"/>
          <w:sz w:val="28"/>
        </w:rPr>
        <w:t xml:space="preserve"> кв.м)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с. Георгиевское, ул. Советская, 23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(общей площадью </w:t>
      </w:r>
      <w:r>
        <w:rPr>
          <w:rFonts w:ascii="Times New Roman" w:hAnsi="Times New Roman"/>
          <w:sz w:val="28"/>
        </w:rPr>
        <w:t>31,6</w:t>
      </w:r>
      <w:r>
        <w:rPr>
          <w:rFonts w:ascii="Times New Roman" w:hAnsi="Times New Roman"/>
          <w:sz w:val="28"/>
        </w:rPr>
        <w:t xml:space="preserve"> кв.м)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                               </w:t>
      </w:r>
      <w:r>
        <w:rPr>
          <w:rFonts w:ascii="Times New Roman" w:hAnsi="Times New Roman"/>
          <w:sz w:val="28"/>
        </w:rPr>
        <w:t xml:space="preserve">п. Тюменский(общей площадью </w:t>
      </w:r>
      <w:r>
        <w:rPr>
          <w:rFonts w:ascii="Times New Roman" w:hAnsi="Times New Roman"/>
          <w:sz w:val="28"/>
        </w:rPr>
        <w:t>371,3</w:t>
      </w:r>
      <w:r>
        <w:rPr>
          <w:rFonts w:ascii="Times New Roman" w:hAnsi="Times New Roman"/>
          <w:sz w:val="28"/>
        </w:rPr>
        <w:t xml:space="preserve"> кв.м),</w:t>
      </w:r>
      <w:r>
        <w:t xml:space="preserve"> </w:t>
      </w:r>
      <w:r>
        <w:rPr>
          <w:rFonts w:ascii="Times New Roman" w:hAnsi="Times New Roman"/>
          <w:sz w:val="28"/>
        </w:rPr>
        <w:t>пгт. Новомихайловский, ул. Ленина, д. 19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(общей площадью </w:t>
      </w:r>
      <w:r>
        <w:rPr>
          <w:rFonts w:ascii="Times New Roman" w:hAnsi="Times New Roman"/>
          <w:sz w:val="28"/>
        </w:rPr>
        <w:t>236,9</w:t>
      </w:r>
      <w:r>
        <w:rPr>
          <w:rFonts w:ascii="Times New Roman" w:hAnsi="Times New Roman"/>
          <w:sz w:val="28"/>
        </w:rPr>
        <w:t xml:space="preserve"> кв.м)</w:t>
      </w:r>
      <w:r>
        <w:rPr>
          <w:rFonts w:ascii="Times New Roman" w:hAnsi="Times New Roman"/>
          <w:sz w:val="28"/>
        </w:rPr>
        <w:t>;</w:t>
      </w:r>
    </w:p>
    <w:p w14:paraId="BE000000">
      <w:pPr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земельные участки по адресам: </w:t>
      </w:r>
      <w:r>
        <w:rPr>
          <w:rFonts w:ascii="Times New Roman" w:hAnsi="Times New Roman"/>
          <w:sz w:val="28"/>
        </w:rPr>
        <w:t>п .Октябрьский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(общей площадью </w:t>
      </w:r>
      <w:r>
        <w:rPr>
          <w:rFonts w:ascii="Times New Roman" w:hAnsi="Times New Roman"/>
          <w:sz w:val="28"/>
        </w:rPr>
        <w:t xml:space="preserve">              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9268</w:t>
      </w:r>
      <w:r>
        <w:rPr>
          <w:rFonts w:ascii="Times New Roman" w:hAnsi="Times New Roman"/>
          <w:sz w:val="28"/>
        </w:rPr>
        <w:t xml:space="preserve"> кв.м</w:t>
      </w:r>
      <w:r>
        <w:rPr>
          <w:rFonts w:ascii="Times New Roman" w:hAnsi="Times New Roman"/>
          <w:sz w:val="28"/>
        </w:rPr>
        <w:t xml:space="preserve">),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с. Кривенковское</w:t>
      </w:r>
      <w:r>
        <w:rPr>
          <w:rFonts w:ascii="Times New Roman" w:hAnsi="Times New Roman"/>
          <w:sz w:val="28"/>
        </w:rPr>
        <w:t xml:space="preserve"> 27272 кв.м., </w:t>
      </w:r>
      <w:r>
        <w:rPr>
          <w:rFonts w:ascii="Times New Roman" w:hAnsi="Times New Roman"/>
          <w:sz w:val="28"/>
        </w:rPr>
        <w:t xml:space="preserve">с. Цыпка(общей площадью </w:t>
      </w:r>
      <w:r>
        <w:rPr>
          <w:rFonts w:ascii="Times New Roman" w:hAnsi="Times New Roman"/>
          <w:sz w:val="28"/>
        </w:rPr>
        <w:t xml:space="preserve">               </w:t>
      </w:r>
      <w:r>
        <w:rPr>
          <w:rFonts w:ascii="Times New Roman" w:hAnsi="Times New Roman"/>
          <w:sz w:val="28"/>
        </w:rPr>
        <w:t>23564</w:t>
      </w:r>
      <w:r>
        <w:rPr>
          <w:rFonts w:ascii="Times New Roman" w:hAnsi="Times New Roman"/>
          <w:sz w:val="28"/>
        </w:rPr>
        <w:t xml:space="preserve"> кв.м)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с. Подхребтовое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4582 кв.м., </w:t>
      </w:r>
      <w:r>
        <w:rPr>
          <w:rFonts w:ascii="Times New Roman" w:hAnsi="Times New Roman"/>
          <w:sz w:val="28"/>
        </w:rPr>
        <w:t>на территории п. турбазы Приморская</w:t>
      </w:r>
      <w:r>
        <w:rPr>
          <w:rFonts w:ascii="Times New Roman" w:hAnsi="Times New Roman"/>
          <w:sz w:val="28"/>
        </w:rPr>
        <w:t xml:space="preserve"> 4405 кв.м.;</w:t>
      </w:r>
    </w:p>
    <w:p w14:paraId="BF000000">
      <w:pPr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транспортные средства</w:t>
      </w:r>
      <w:r>
        <w:rPr>
          <w:rFonts w:ascii="Times New Roman" w:hAnsi="Times New Roman"/>
          <w:sz w:val="28"/>
        </w:rPr>
        <w:t xml:space="preserve"> в количестве 4-х штук.</w:t>
      </w:r>
    </w:p>
    <w:p w14:paraId="C0000000">
      <w:pPr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мероприятия установлено:</w:t>
      </w:r>
    </w:p>
    <w:p w14:paraId="C1000000">
      <w:pPr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отраслевым (функциональным) органом администрации Туапсинского муниципального округа не на должном уровне осуществляется контроль</w:t>
      </w:r>
      <w:r>
        <w:t xml:space="preserve"> </w:t>
      </w:r>
      <w:r>
        <w:rPr>
          <w:rFonts w:ascii="Times New Roman" w:hAnsi="Times New Roman"/>
          <w:sz w:val="28"/>
        </w:rPr>
        <w:t>за использованием движимого имущества переданного в безвозмездное пользование социально ориентированным реестровым казачьим обществам Туапсинского муниципального округа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что ведет к неэффективному расходованию бюджетных средств (оплату коммунальных услуг и иных расходов связанных с содержанием имущества),</w:t>
      </w:r>
      <w:r>
        <w:rPr>
          <w:rFonts w:ascii="Times New Roman" w:hAnsi="Times New Roman"/>
          <w:sz w:val="28"/>
        </w:rPr>
        <w:t xml:space="preserve"> а также недополучению неналоговых доходов (доходов, получаемые в виде арендной либо иной платы за передачу в возмездное пользование муниципального имущества (субаренда) в бюджет Туапсинск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муниципальн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округ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;</w:t>
      </w:r>
    </w:p>
    <w:p w14:paraId="C2000000">
      <w:pPr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транспортные средства</w:t>
      </w:r>
      <w:r>
        <w:rPr>
          <w:rFonts w:ascii="Times New Roman" w:hAnsi="Times New Roman"/>
          <w:sz w:val="28"/>
        </w:rPr>
        <w:t xml:space="preserve"> наход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>тся в неисправном состоянии (не способна передвигаться своим ходом)</w:t>
      </w:r>
      <w:r>
        <w:rPr>
          <w:rFonts w:ascii="Times New Roman" w:hAnsi="Times New Roman"/>
          <w:sz w:val="28"/>
        </w:rPr>
        <w:t>, в результате чего</w:t>
      </w:r>
      <w:r>
        <w:t xml:space="preserve"> </w:t>
      </w:r>
      <w:r>
        <w:rPr>
          <w:rFonts w:ascii="Times New Roman" w:hAnsi="Times New Roman"/>
          <w:sz w:val="28"/>
        </w:rPr>
        <w:t>может быть нанесен фактический ущерб в виде утраты имущества на сумму  687 279,90 рублей</w:t>
      </w:r>
      <w:r>
        <w:rPr>
          <w:rFonts w:ascii="Times New Roman" w:hAnsi="Times New Roman"/>
          <w:sz w:val="28"/>
        </w:rPr>
        <w:t>;</w:t>
      </w:r>
    </w:p>
    <w:p w14:paraId="C3000000">
      <w:pPr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ненадле</w:t>
      </w:r>
      <w:r>
        <w:rPr>
          <w:rFonts w:ascii="Times New Roman" w:hAnsi="Times New Roman"/>
          <w:sz w:val="28"/>
        </w:rPr>
        <w:t>жащая работа по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заключен</w:t>
      </w:r>
      <w:r>
        <w:rPr>
          <w:rFonts w:ascii="Times New Roman" w:hAnsi="Times New Roman"/>
          <w:sz w:val="28"/>
        </w:rPr>
        <w:t>ию</w:t>
      </w:r>
      <w:r>
        <w:rPr>
          <w:rFonts w:ascii="Times New Roman" w:hAnsi="Times New Roman"/>
          <w:sz w:val="28"/>
        </w:rPr>
        <w:t xml:space="preserve"> договоров социально ориентированными реестровыми казачьим обществам Туапсинского муниципального округа  с ресурсоснабжающими организациями</w:t>
      </w:r>
      <w:r>
        <w:rPr>
          <w:rFonts w:ascii="Times New Roman" w:hAnsi="Times New Roman"/>
          <w:sz w:val="28"/>
        </w:rPr>
        <w:t>;</w:t>
      </w:r>
    </w:p>
    <w:p w14:paraId="C4000000">
      <w:pPr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осуществляет</w:t>
      </w:r>
      <w:r>
        <w:rPr>
          <w:rFonts w:ascii="Times New Roman" w:hAnsi="Times New Roman"/>
          <w:sz w:val="28"/>
        </w:rPr>
        <w:t>ся</w:t>
      </w:r>
      <w:r>
        <w:rPr>
          <w:rFonts w:ascii="Times New Roman" w:hAnsi="Times New Roman"/>
          <w:sz w:val="28"/>
        </w:rPr>
        <w:t xml:space="preserve"> предпринимательск</w:t>
      </w:r>
      <w:r>
        <w:rPr>
          <w:rFonts w:ascii="Times New Roman" w:hAnsi="Times New Roman"/>
          <w:sz w:val="28"/>
        </w:rPr>
        <w:t>ая</w:t>
      </w:r>
      <w:r>
        <w:rPr>
          <w:rFonts w:ascii="Times New Roman" w:hAnsi="Times New Roman"/>
          <w:sz w:val="28"/>
        </w:rPr>
        <w:t xml:space="preserve"> деятельность не предусмотренн</w:t>
      </w:r>
      <w:r>
        <w:rPr>
          <w:rFonts w:ascii="Times New Roman" w:hAnsi="Times New Roman"/>
          <w:sz w:val="28"/>
        </w:rPr>
        <w:t>ая</w:t>
      </w:r>
      <w:r>
        <w:rPr>
          <w:rFonts w:ascii="Times New Roman" w:hAnsi="Times New Roman"/>
          <w:sz w:val="28"/>
        </w:rPr>
        <w:t xml:space="preserve"> Уставом Туапсинского районного казачьего общества Черноморского окружного казачьего общества Кубанского войскового казачьего общества</w:t>
      </w:r>
      <w:r>
        <w:rPr>
          <w:rFonts w:ascii="Times New Roman" w:hAnsi="Times New Roman"/>
          <w:sz w:val="28"/>
        </w:rPr>
        <w:t>;</w:t>
      </w:r>
    </w:p>
    <w:p w14:paraId="C5000000">
      <w:pPr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используются земельные участки общей площадью 56960,0 кв.м.</w:t>
      </w:r>
      <w:r>
        <w:t xml:space="preserve"> </w:t>
      </w:r>
      <w:r>
        <w:rPr>
          <w:rFonts w:ascii="Times New Roman" w:hAnsi="Times New Roman"/>
          <w:sz w:val="28"/>
        </w:rPr>
        <w:t>в связи с отсутствием подъездных дорог</w:t>
      </w:r>
      <w:r>
        <w:rPr>
          <w:rFonts w:ascii="Times New Roman" w:hAnsi="Times New Roman"/>
          <w:sz w:val="28"/>
        </w:rPr>
        <w:t>;</w:t>
      </w:r>
    </w:p>
    <w:p w14:paraId="C6000000">
      <w:pPr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</w:t>
      </w:r>
      <w:r>
        <w:rPr>
          <w:rFonts w:ascii="Times New Roman" w:hAnsi="Times New Roman"/>
          <w:sz w:val="28"/>
        </w:rPr>
        <w:t>разуется задолженность по арендной плате за переданные в пользование земельные участки</w:t>
      </w:r>
      <w:r>
        <w:rPr>
          <w:rFonts w:ascii="Times New Roman" w:hAnsi="Times New Roman"/>
          <w:sz w:val="28"/>
        </w:rPr>
        <w:t>.</w:t>
      </w:r>
    </w:p>
    <w:p w14:paraId="C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всем мероприятиям составлены соответствующие заключения, которые направлены главе Туапсинск</w:t>
      </w:r>
      <w:r>
        <w:rPr>
          <w:rFonts w:ascii="Times New Roman" w:hAnsi="Times New Roman"/>
          <w:sz w:val="28"/>
        </w:rPr>
        <w:t>ого муниципального округа</w:t>
      </w:r>
      <w:r>
        <w:rPr>
          <w:rFonts w:ascii="Times New Roman" w:hAnsi="Times New Roman"/>
          <w:sz w:val="28"/>
        </w:rPr>
        <w:t>, Совет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14:paraId="C8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C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C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CB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CC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Взаимодействие и сотрудничество</w:t>
      </w:r>
    </w:p>
    <w:p w14:paraId="CD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C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Контрольно-счетная палата</w:t>
      </w:r>
      <w:r>
        <w:rPr>
          <w:rFonts w:ascii="Times New Roman" w:hAnsi="Times New Roman"/>
          <w:sz w:val="28"/>
        </w:rPr>
        <w:t xml:space="preserve"> состоит в Союзе муниципальных контрольно-счетных органов Российской Федерации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(далее – Союз МКСО) </w:t>
      </w:r>
      <w:r>
        <w:rPr>
          <w:rFonts w:ascii="Times New Roman" w:hAnsi="Times New Roman"/>
          <w:sz w:val="28"/>
        </w:rPr>
        <w:t>и в Совете муниципальных контрольно-счетных органов Краснодарского края</w:t>
      </w:r>
      <w:r>
        <w:rPr>
          <w:rFonts w:ascii="Times New Roman" w:hAnsi="Times New Roman"/>
          <w:sz w:val="28"/>
        </w:rPr>
        <w:t xml:space="preserve"> (далее Совет МКСО Краснодарского края)</w:t>
      </w:r>
      <w:r>
        <w:rPr>
          <w:rFonts w:ascii="Times New Roman" w:hAnsi="Times New Roman"/>
          <w:sz w:val="28"/>
        </w:rPr>
        <w:t xml:space="preserve">. </w:t>
      </w:r>
    </w:p>
    <w:p w14:paraId="C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Палаты является </w:t>
      </w:r>
      <w:r>
        <w:rPr>
          <w:rFonts w:ascii="Times New Roman" w:hAnsi="Times New Roman"/>
          <w:sz w:val="28"/>
        </w:rPr>
        <w:t xml:space="preserve">членом </w:t>
      </w:r>
      <w:r>
        <w:rPr>
          <w:rFonts w:ascii="Times New Roman" w:hAnsi="Times New Roman"/>
          <w:sz w:val="28"/>
        </w:rPr>
        <w:t xml:space="preserve">Экспертного совета по вопросам контроля в сфере государственных (муниципальных) финансов и иных ресурсов при Комитете Государственной Думы Российской Федерации по контролю и Регламенту, </w:t>
      </w:r>
      <w:r>
        <w:rPr>
          <w:rFonts w:ascii="Times New Roman" w:hAnsi="Times New Roman"/>
          <w:sz w:val="28"/>
        </w:rPr>
        <w:t xml:space="preserve">членом комиссии Союза муниципальных контрольно-счетных органов Российской Федерации по правовым вопросам, членом Представительства в Южном федеральном округе, членом </w:t>
      </w:r>
      <w:r>
        <w:rPr>
          <w:rFonts w:ascii="Times New Roman" w:hAnsi="Times New Roman"/>
          <w:sz w:val="28"/>
        </w:rPr>
        <w:t>Президиума Совета Контрольно-счетных органов Краснодарского края</w:t>
      </w:r>
      <w:r>
        <w:rPr>
          <w:rFonts w:ascii="Times New Roman" w:hAnsi="Times New Roman"/>
          <w:sz w:val="28"/>
        </w:rPr>
        <w:t xml:space="preserve"> и входи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 xml:space="preserve"> в состав рабочей группы по методическому обеспечению полномочий контрольно-счетных органов в отношении государственных (муниципальных) программ, мониторингу и подготовке</w:t>
      </w:r>
      <w:r>
        <w:rPr>
          <w:rFonts w:ascii="Times New Roman" w:hAnsi="Times New Roman"/>
          <w:sz w:val="28"/>
        </w:rPr>
        <w:t xml:space="preserve"> предложений по решению проблем и вопросов, возникающих при реализации Федерального закона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№ 6-ФЗ</w:t>
      </w:r>
      <w:r>
        <w:rPr>
          <w:rFonts w:ascii="Times New Roman" w:hAnsi="Times New Roman"/>
          <w:sz w:val="28"/>
        </w:rPr>
        <w:t>.</w:t>
      </w:r>
    </w:p>
    <w:p w14:paraId="D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Контрольно-счетная палата принимала участие в деятельности Союза МКСО, Представительства в Южном федеральном округе и Совета МКСО Краснодарского края.</w:t>
      </w:r>
    </w:p>
    <w:p w14:paraId="D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D2000000">
      <w:pPr>
        <w:spacing w:after="0" w:line="240" w:lineRule="auto"/>
        <w:ind/>
        <w:jc w:val="center"/>
      </w:pPr>
      <w:r>
        <w:rPr>
          <w:rFonts w:ascii="Times New Roman" w:hAnsi="Times New Roman"/>
          <w:b w:val="1"/>
          <w:sz w:val="28"/>
        </w:rPr>
        <w:t>Основные направления деятельности в 202</w:t>
      </w:r>
      <w:r>
        <w:rPr>
          <w:rFonts w:ascii="Times New Roman" w:hAnsi="Times New Roman"/>
          <w:b w:val="1"/>
          <w:sz w:val="28"/>
        </w:rPr>
        <w:t>6</w:t>
      </w:r>
      <w:r>
        <w:rPr>
          <w:rFonts w:ascii="Times New Roman" w:hAnsi="Times New Roman"/>
          <w:b w:val="1"/>
          <w:sz w:val="28"/>
        </w:rPr>
        <w:t xml:space="preserve"> году</w:t>
      </w:r>
    </w:p>
    <w:p w14:paraId="D300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</w:p>
    <w:p w14:paraId="D4000000">
      <w:pPr>
        <w:widowControl w:val="0"/>
        <w:spacing w:after="0" w:line="240" w:lineRule="auto"/>
        <w:ind w:firstLine="709" w:left="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 работы на 202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 сформирован и утвержден председателем Контрольно-счетной палаты с учетом </w:t>
      </w:r>
      <w:r>
        <w:rPr>
          <w:rFonts w:ascii="Times New Roman" w:hAnsi="Times New Roman"/>
          <w:sz w:val="28"/>
        </w:rPr>
        <w:t>необходимости выполнения максимального количества полномочий органа внешнего муниципального финансового контроля</w:t>
      </w:r>
      <w:r>
        <w:rPr>
          <w:rFonts w:ascii="Times New Roman" w:hAnsi="Times New Roman"/>
          <w:sz w:val="28"/>
        </w:rPr>
        <w:t>.</w:t>
      </w:r>
    </w:p>
    <w:p w14:paraId="D5000000">
      <w:pPr>
        <w:widowControl w:val="0"/>
        <w:spacing w:after="0" w:line="240" w:lineRule="auto"/>
        <w:ind w:firstLine="709" w:left="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рамках </w:t>
      </w:r>
      <w:r>
        <w:rPr>
          <w:rFonts w:ascii="Times New Roman" w:hAnsi="Times New Roman"/>
          <w:sz w:val="28"/>
        </w:rPr>
        <w:t>экспертно-аналитической деятельности</w:t>
      </w:r>
      <w:r>
        <w:rPr>
          <w:rFonts w:ascii="Times New Roman" w:hAnsi="Times New Roman"/>
          <w:sz w:val="28"/>
        </w:rPr>
        <w:t xml:space="preserve"> запланировано 6 мероприятий,</w:t>
      </w:r>
      <w:r>
        <w:rPr>
          <w:rFonts w:ascii="Times New Roman" w:hAnsi="Times New Roman"/>
          <w:sz w:val="28"/>
        </w:rPr>
        <w:t xml:space="preserve"> в том числе 1 в </w:t>
      </w:r>
      <w:r>
        <w:rPr>
          <w:rFonts w:ascii="Times New Roman" w:hAnsi="Times New Roman"/>
          <w:sz w:val="28"/>
        </w:rPr>
        <w:t>формате параллельн</w:t>
      </w:r>
      <w:r>
        <w:rPr>
          <w:rFonts w:ascii="Times New Roman" w:hAnsi="Times New Roman"/>
          <w:sz w:val="28"/>
        </w:rPr>
        <w:t>ого экспертно-аналитического</w:t>
      </w:r>
      <w:r>
        <w:rPr>
          <w:rFonts w:ascii="Times New Roman" w:hAnsi="Times New Roman"/>
          <w:sz w:val="28"/>
        </w:rPr>
        <w:t xml:space="preserve"> мероприяти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с Контрольно-счетной палатой Краснодарского края</w:t>
      </w:r>
      <w:r>
        <w:rPr>
          <w:rFonts w:ascii="Times New Roman" w:hAnsi="Times New Roman"/>
          <w:sz w:val="28"/>
        </w:rPr>
        <w:t>. К</w:t>
      </w:r>
      <w:r>
        <w:rPr>
          <w:rFonts w:ascii="Times New Roman" w:hAnsi="Times New Roman"/>
          <w:sz w:val="28"/>
        </w:rPr>
        <w:t>ак и ранее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будет осуществляться предварительный, текущий и последующий контроль за составлением и исполнением бюджета Туапсинск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округ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, предусмотрено проведение экспертизы проектов муниципальных правовых актов (включая обоснованность финансово-экономических обоснований) в части, касающейся расходных обязательств Туапсинск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округ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, муниципальных программ</w:t>
      </w:r>
      <w:r>
        <w:rPr>
          <w:rFonts w:ascii="Times New Roman" w:hAnsi="Times New Roman"/>
          <w:sz w:val="28"/>
        </w:rPr>
        <w:t>.</w:t>
      </w:r>
    </w:p>
    <w:p w14:paraId="D6000000">
      <w:pPr>
        <w:widowControl w:val="0"/>
        <w:spacing w:after="0" w:line="240" w:lineRule="auto"/>
        <w:ind w:firstLine="709" w:left="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Также запланировано проведение 12 контрольных мероприятий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из которых переходящие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 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года</w:t>
      </w:r>
      <w:r>
        <w:rPr>
          <w:rFonts w:ascii="Times New Roman" w:hAnsi="Times New Roman"/>
          <w:sz w:val="28"/>
        </w:rPr>
        <w:t xml:space="preserve">), в том числе 10 тематических контрольных мероприятий, в том числе 2 в формате параллельных контрольных мероприятий с Контрольно-счетной палатой Краснодарского края и 1 по обращению </w:t>
      </w:r>
      <w:r>
        <w:rPr>
          <w:rFonts w:ascii="Times New Roman" w:hAnsi="Times New Roman"/>
          <w:sz w:val="28"/>
        </w:rPr>
        <w:t>Туапсинско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межрайонно</w:t>
      </w:r>
      <w:r>
        <w:rPr>
          <w:rFonts w:ascii="Times New Roman" w:hAnsi="Times New Roman"/>
          <w:sz w:val="28"/>
        </w:rPr>
        <w:t xml:space="preserve">й </w:t>
      </w:r>
      <w:r>
        <w:rPr>
          <w:rFonts w:ascii="Times New Roman" w:hAnsi="Times New Roman"/>
          <w:sz w:val="28"/>
        </w:rPr>
        <w:t>прокур</w:t>
      </w:r>
      <w:r>
        <w:rPr>
          <w:rFonts w:ascii="Times New Roman" w:hAnsi="Times New Roman"/>
          <w:sz w:val="28"/>
        </w:rPr>
        <w:t>атуры</w:t>
      </w:r>
      <w:r>
        <w:rPr>
          <w:rFonts w:ascii="Times New Roman" w:hAnsi="Times New Roman"/>
          <w:sz w:val="28"/>
        </w:rPr>
        <w:t xml:space="preserve"> Краснодарского края</w:t>
      </w:r>
      <w:r>
        <w:rPr>
          <w:rFonts w:ascii="Times New Roman" w:hAnsi="Times New Roman"/>
          <w:sz w:val="28"/>
        </w:rPr>
        <w:t>.</w:t>
      </w:r>
    </w:p>
    <w:p w14:paraId="D7000000">
      <w:pPr>
        <w:widowControl w:val="0"/>
        <w:spacing w:after="0" w:line="240" w:lineRule="auto"/>
        <w:ind w:firstLine="709" w:left="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и в предшествующие периоды, особое внимание будет уделяться повышению качества бюджетного процесса, повышению доходного потенциала бюджет</w:t>
      </w:r>
      <w:r>
        <w:rPr>
          <w:rFonts w:ascii="Times New Roman" w:hAnsi="Times New Roman"/>
          <w:sz w:val="28"/>
        </w:rPr>
        <w:t xml:space="preserve">а </w:t>
      </w:r>
      <w:r>
        <w:rPr>
          <w:rFonts w:ascii="Times New Roman" w:hAnsi="Times New Roman"/>
          <w:sz w:val="28"/>
        </w:rPr>
        <w:t>Туапсинск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муниципальн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округ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, результативности (эффективности и экономности) расходования бюджетных средств и законности управления муниципальными ресурсами, проведению профилактических мероприятий по предотвращению нецелевого и неэффективного использования средств.</w:t>
      </w:r>
    </w:p>
    <w:p w14:paraId="D8000000">
      <w:pPr>
        <w:widowControl w:val="0"/>
        <w:spacing w:after="0" w:line="240" w:lineRule="auto"/>
        <w:ind w:firstLine="709" w:left="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Непрерывным останется контроль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за устранением выявленных нарушений и недостатков, а также выполнением рекомендаций по ранее проведенным мероприятиям.</w:t>
      </w:r>
    </w:p>
    <w:p w14:paraId="D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Важным направлением деятельности Палаты останется совершенствование методического обеспечения, соблюдения Стандартов финансового контроля, повышение качества проводимых мероприятий, квалификации нарушений и формирований итоговых выводов и рекомендаций. Повышение востребованности результатов внешнего муниципального финансового контроля у объектов контроля, органов местного самоуправления, иных пользователей будет являться критерием оценки качества контрольной деятельности, осуществляемой Палатой.</w:t>
      </w:r>
    </w:p>
    <w:p w14:paraId="D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DB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DC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DD000000">
      <w:pPr>
        <w:spacing w:after="0" w:line="240" w:lineRule="auto"/>
        <w:ind/>
        <w:jc w:val="both"/>
      </w:pPr>
      <w:r>
        <w:rPr>
          <w:rFonts w:ascii="Times New Roman" w:hAnsi="Times New Roman"/>
          <w:sz w:val="28"/>
        </w:rPr>
        <w:t>Председатель</w:t>
      </w:r>
    </w:p>
    <w:p w14:paraId="DE000000">
      <w:pPr>
        <w:spacing w:after="0" w:line="240" w:lineRule="auto"/>
        <w:ind/>
        <w:jc w:val="both"/>
      </w:pPr>
      <w:r>
        <w:rPr>
          <w:rFonts w:ascii="Times New Roman" w:hAnsi="Times New Roman"/>
          <w:sz w:val="28"/>
        </w:rPr>
        <w:t xml:space="preserve">Контрольно-счетной палаты </w:t>
      </w:r>
    </w:p>
    <w:p w14:paraId="DF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>униципального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образования</w:t>
      </w:r>
    </w:p>
    <w:p w14:paraId="E0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Туапсинский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муниципальный округ</w:t>
      </w:r>
    </w:p>
    <w:p w14:paraId="E1000000">
      <w:pPr>
        <w:spacing w:after="0" w:line="240" w:lineRule="auto"/>
        <w:ind/>
        <w:jc w:val="both"/>
      </w:pPr>
      <w:r>
        <w:rPr>
          <w:rFonts w:ascii="Times New Roman" w:hAnsi="Times New Roman"/>
          <w:sz w:val="28"/>
        </w:rPr>
        <w:t>Краснодарского края</w:t>
      </w: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                                                     </w:t>
      </w:r>
      <w:r>
        <w:rPr>
          <w:rFonts w:ascii="Times New Roman" w:hAnsi="Times New Roman"/>
          <w:sz w:val="28"/>
        </w:rPr>
        <w:t xml:space="preserve">  А.В. Трегубова </w:t>
      </w:r>
    </w:p>
    <w:p w14:paraId="E2000000">
      <w:pPr>
        <w:spacing w:after="0" w:line="240" w:lineRule="auto"/>
        <w:ind w:firstLine="709" w:left="0"/>
        <w:jc w:val="both"/>
      </w:pPr>
    </w:p>
    <w:sectPr>
      <w:headerReference r:id="rId1" w:type="default"/>
      <w:pgSz w:h="16838" w:orient="portrait" w:w="11906"/>
      <w:pgMar w:bottom="1134" w:footer="720" w:gutter="0" w:header="561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column">
                <wp:posOffset>-57150</wp:posOffset>
              </wp:positionH>
              <wp:positionV relativeFrom="paragraph">
                <wp:posOffset>-161925</wp:posOffset>
              </wp:positionV>
              <wp:extent cx="6638925" cy="565785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6638925" cy="565785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pStyle w:val="Style_1"/>
                            <w:ind/>
                            <w:jc w:val="center"/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instrText xml:space="preserve">PAGE 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end"/>
                          </w:r>
                        </w:p>
                        <w:p w14:paraId="03000000">
                          <w:pPr>
                            <w:pStyle w:val="Style_2"/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</w:pPr>
                        </w:p>
                      </w:txbxContent>
                    </wps:txbx>
                    <wps:bodyPr anchor="t" bIns="0" lIns="0" rIns="0" tIns="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200" w:line="276" w:lineRule="auto"/>
      <w:ind/>
    </w:pPr>
    <w:rPr>
      <w:rFonts w:ascii="Calibri" w:hAnsi="Calibri"/>
      <w:sz w:val="22"/>
    </w:rPr>
  </w:style>
  <w:style w:default="1" w:styleId="Style_4_ch" w:type="character">
    <w:name w:val="Normal"/>
    <w:link w:val="Style_4"/>
    <w:rPr>
      <w:rFonts w:ascii="Calibri" w:hAnsi="Calibri"/>
      <w:sz w:val="22"/>
    </w:rPr>
  </w:style>
  <w:style w:styleId="Style_5" w:type="paragraph">
    <w:name w:val="WW8Num9z4"/>
    <w:link w:val="Style_5_ch"/>
  </w:style>
  <w:style w:styleId="Style_5_ch" w:type="character">
    <w:name w:val="WW8Num9z4"/>
    <w:link w:val="Style_5"/>
  </w:style>
  <w:style w:styleId="Style_6" w:type="paragraph">
    <w:name w:val="WW8Num5z1"/>
    <w:link w:val="Style_6_ch"/>
  </w:style>
  <w:style w:styleId="Style_6_ch" w:type="character">
    <w:name w:val="WW8Num5z1"/>
    <w:link w:val="Style_6"/>
  </w:style>
  <w:style w:styleId="Style_7" w:type="paragraph">
    <w:name w:val="Body Text Indent"/>
    <w:basedOn w:val="Style_4"/>
    <w:link w:val="Style_7_ch"/>
    <w:pPr>
      <w:spacing w:after="120" w:before="0"/>
      <w:ind w:firstLine="0" w:left="283" w:right="0"/>
    </w:pPr>
  </w:style>
  <w:style w:styleId="Style_7_ch" w:type="character">
    <w:name w:val="Body Text Indent"/>
    <w:basedOn w:val="Style_4_ch"/>
    <w:link w:val="Style_7"/>
  </w:style>
  <w:style w:styleId="Style_8" w:type="paragraph">
    <w:name w:val="WW8Num9z0"/>
    <w:link w:val="Style_8_ch"/>
  </w:style>
  <w:style w:styleId="Style_8_ch" w:type="character">
    <w:name w:val="WW8Num9z0"/>
    <w:link w:val="Style_8"/>
  </w:style>
  <w:style w:styleId="Style_9" w:type="paragraph">
    <w:name w:val="toc 2"/>
    <w:next w:val="Style_4"/>
    <w:link w:val="Style_9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10" w:type="paragraph">
    <w:name w:val="ConsPlusTitle"/>
    <w:link w:val="Style_10_ch"/>
    <w:pPr>
      <w:widowControl w:val="0"/>
      <w:ind/>
    </w:pPr>
    <w:rPr>
      <w:rFonts w:ascii="Calibri" w:hAnsi="Calibri"/>
      <w:b w:val="1"/>
      <w:sz w:val="22"/>
    </w:rPr>
  </w:style>
  <w:style w:styleId="Style_10_ch" w:type="character">
    <w:name w:val="ConsPlusTitle"/>
    <w:link w:val="Style_10"/>
    <w:rPr>
      <w:rFonts w:ascii="Calibri" w:hAnsi="Calibri"/>
      <w:b w:val="1"/>
      <w:sz w:val="22"/>
    </w:rPr>
  </w:style>
  <w:style w:styleId="Style_11" w:type="paragraph">
    <w:name w:val="toc 4"/>
    <w:next w:val="Style_4"/>
    <w:link w:val="Style_11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12" w:type="paragraph">
    <w:name w:val="toc 6"/>
    <w:next w:val="Style_4"/>
    <w:link w:val="Style_12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4"/>
    <w:link w:val="Style_13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WW8Num7z4"/>
    <w:link w:val="Style_14_ch"/>
  </w:style>
  <w:style w:styleId="Style_14_ch" w:type="character">
    <w:name w:val="WW8Num7z4"/>
    <w:link w:val="Style_14"/>
  </w:style>
  <w:style w:styleId="Style_15" w:type="paragraph">
    <w:name w:val="WW8Num4z7"/>
    <w:link w:val="Style_15_ch"/>
  </w:style>
  <w:style w:styleId="Style_15_ch" w:type="character">
    <w:name w:val="WW8Num4z7"/>
    <w:link w:val="Style_15"/>
  </w:style>
  <w:style w:styleId="Style_16" w:type="paragraph">
    <w:name w:val="Balloon Text"/>
    <w:basedOn w:val="Style_4"/>
    <w:link w:val="Style_16_ch"/>
    <w:pPr>
      <w:spacing w:after="0" w:before="0" w:line="240" w:lineRule="auto"/>
      <w:ind/>
    </w:pPr>
    <w:rPr>
      <w:rFonts w:ascii="Tahoma" w:hAnsi="Tahoma"/>
      <w:sz w:val="16"/>
    </w:rPr>
  </w:style>
  <w:style w:styleId="Style_16_ch" w:type="character">
    <w:name w:val="Balloon Text"/>
    <w:basedOn w:val="Style_4_ch"/>
    <w:link w:val="Style_16"/>
    <w:rPr>
      <w:rFonts w:ascii="Tahoma" w:hAnsi="Tahoma"/>
      <w:sz w:val="16"/>
    </w:rPr>
  </w:style>
  <w:style w:styleId="Style_17" w:type="paragraph">
    <w:name w:val="Указатель1"/>
    <w:basedOn w:val="Style_4"/>
    <w:link w:val="Style_17_ch"/>
    <w:rPr>
      <w:rFonts w:ascii="Times New Roman" w:hAnsi="Times New Roman"/>
    </w:rPr>
  </w:style>
  <w:style w:styleId="Style_17_ch" w:type="character">
    <w:name w:val="Указатель1"/>
    <w:basedOn w:val="Style_4_ch"/>
    <w:link w:val="Style_17"/>
    <w:rPr>
      <w:rFonts w:ascii="Times New Roman" w:hAnsi="Times New Roman"/>
    </w:rPr>
  </w:style>
  <w:style w:styleId="Style_18" w:type="paragraph">
    <w:name w:val="End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Endnote"/>
    <w:link w:val="Style_18"/>
    <w:rPr>
      <w:rFonts w:ascii="XO Thames" w:hAnsi="XO Thames"/>
      <w:sz w:val="22"/>
    </w:rPr>
  </w:style>
  <w:style w:styleId="Style_19" w:type="paragraph">
    <w:name w:val="heading 3"/>
    <w:next w:val="Style_4"/>
    <w:link w:val="Style_1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9_ch" w:type="character">
    <w:name w:val="heading 3"/>
    <w:link w:val="Style_19"/>
    <w:rPr>
      <w:rFonts w:ascii="XO Thames" w:hAnsi="XO Thames"/>
      <w:b w:val="1"/>
      <w:sz w:val="26"/>
    </w:rPr>
  </w:style>
  <w:style w:styleId="Style_20" w:type="paragraph">
    <w:name w:val="Основной текст 21"/>
    <w:basedOn w:val="Style_4"/>
    <w:link w:val="Style_20_ch"/>
    <w:pPr>
      <w:spacing w:after="0" w:before="0" w:line="240" w:lineRule="auto"/>
      <w:ind/>
      <w:jc w:val="both"/>
    </w:pPr>
    <w:rPr>
      <w:rFonts w:ascii="Times New Roman" w:hAnsi="Times New Roman"/>
      <w:sz w:val="28"/>
    </w:rPr>
  </w:style>
  <w:style w:styleId="Style_20_ch" w:type="character">
    <w:name w:val="Основной текст 21"/>
    <w:basedOn w:val="Style_4_ch"/>
    <w:link w:val="Style_20"/>
    <w:rPr>
      <w:rFonts w:ascii="Times New Roman" w:hAnsi="Times New Roman"/>
      <w:sz w:val="28"/>
    </w:rPr>
  </w:style>
  <w:style w:styleId="Style_21" w:type="paragraph">
    <w:name w:val="WW8Num8z2"/>
    <w:link w:val="Style_21_ch"/>
    <w:rPr>
      <w:rFonts w:ascii="Wingdings" w:hAnsi="Wingdings"/>
      <w:sz w:val="20"/>
    </w:rPr>
  </w:style>
  <w:style w:styleId="Style_21_ch" w:type="character">
    <w:name w:val="WW8Num8z2"/>
    <w:link w:val="Style_21"/>
    <w:rPr>
      <w:rFonts w:ascii="Wingdings" w:hAnsi="Wingdings"/>
      <w:sz w:val="20"/>
    </w:rPr>
  </w:style>
  <w:style w:styleId="Style_22" w:type="paragraph">
    <w:name w:val="WW8Num1z6"/>
    <w:link w:val="Style_22_ch"/>
  </w:style>
  <w:style w:styleId="Style_22_ch" w:type="character">
    <w:name w:val="WW8Num1z6"/>
    <w:link w:val="Style_22"/>
  </w:style>
  <w:style w:styleId="Style_23" w:type="paragraph">
    <w:name w:val="WW8Num5z8"/>
    <w:link w:val="Style_23_ch"/>
  </w:style>
  <w:style w:styleId="Style_23_ch" w:type="character">
    <w:name w:val="WW8Num5z8"/>
    <w:link w:val="Style_23"/>
  </w:style>
  <w:style w:styleId="Style_24" w:type="paragraph">
    <w:name w:val="WW8Num4z6"/>
    <w:link w:val="Style_24_ch"/>
  </w:style>
  <w:style w:styleId="Style_24_ch" w:type="character">
    <w:name w:val="WW8Num4z6"/>
    <w:link w:val="Style_24"/>
  </w:style>
  <w:style w:styleId="Style_25" w:type="paragraph">
    <w:name w:val="WW8Num4z1"/>
    <w:link w:val="Style_25_ch"/>
  </w:style>
  <w:style w:styleId="Style_25_ch" w:type="character">
    <w:name w:val="WW8Num4z1"/>
    <w:link w:val="Style_25"/>
  </w:style>
  <w:style w:styleId="Style_26" w:type="paragraph">
    <w:name w:val="WW8Num1z2"/>
    <w:link w:val="Style_26_ch"/>
  </w:style>
  <w:style w:styleId="Style_26_ch" w:type="character">
    <w:name w:val="WW8Num1z2"/>
    <w:link w:val="Style_26"/>
  </w:style>
  <w:style w:styleId="Style_27" w:type="paragraph">
    <w:name w:val="caption"/>
    <w:basedOn w:val="Style_4"/>
    <w:link w:val="Style_27_ch"/>
    <w:pPr>
      <w:spacing w:after="120" w:before="120"/>
      <w:ind/>
    </w:pPr>
    <w:rPr>
      <w:rFonts w:ascii="Times New Roman" w:hAnsi="Times New Roman"/>
      <w:i w:val="1"/>
      <w:sz w:val="24"/>
    </w:rPr>
  </w:style>
  <w:style w:styleId="Style_27_ch" w:type="character">
    <w:name w:val="caption"/>
    <w:basedOn w:val="Style_4_ch"/>
    <w:link w:val="Style_27"/>
    <w:rPr>
      <w:rFonts w:ascii="Times New Roman" w:hAnsi="Times New Roman"/>
      <w:i w:val="1"/>
      <w:sz w:val="24"/>
    </w:rPr>
  </w:style>
  <w:style w:styleId="Style_28" w:type="paragraph">
    <w:name w:val="Основной текст с отступом Знак"/>
    <w:link w:val="Style_28_ch"/>
    <w:rPr>
      <w:sz w:val="22"/>
    </w:rPr>
  </w:style>
  <w:style w:styleId="Style_28_ch" w:type="character">
    <w:name w:val="Основной текст с отступом Знак"/>
    <w:link w:val="Style_28"/>
    <w:rPr>
      <w:sz w:val="22"/>
    </w:rPr>
  </w:style>
  <w:style w:styleId="Style_29" w:type="paragraph">
    <w:name w:val="WW8Num4z3"/>
    <w:link w:val="Style_29_ch"/>
  </w:style>
  <w:style w:styleId="Style_29_ch" w:type="character">
    <w:name w:val="WW8Num4z3"/>
    <w:link w:val="Style_29"/>
  </w:style>
  <w:style w:styleId="Style_30" w:type="paragraph">
    <w:name w:val="WW8Num2z0"/>
    <w:link w:val="Style_30_ch"/>
    <w:rPr>
      <w:rFonts w:ascii="Symbol" w:hAnsi="Symbol"/>
      <w:sz w:val="20"/>
    </w:rPr>
  </w:style>
  <w:style w:styleId="Style_30_ch" w:type="character">
    <w:name w:val="WW8Num2z0"/>
    <w:link w:val="Style_30"/>
    <w:rPr>
      <w:rFonts w:ascii="Symbol" w:hAnsi="Symbol"/>
      <w:sz w:val="20"/>
    </w:rPr>
  </w:style>
  <w:style w:styleId="Style_31" w:type="paragraph">
    <w:name w:val="WW8Num9z2"/>
    <w:link w:val="Style_31_ch"/>
  </w:style>
  <w:style w:styleId="Style_31_ch" w:type="character">
    <w:name w:val="WW8Num9z2"/>
    <w:link w:val="Style_31"/>
  </w:style>
  <w:style w:styleId="Style_32" w:type="paragraph">
    <w:name w:val="WW8Num6z0"/>
    <w:link w:val="Style_32_ch"/>
  </w:style>
  <w:style w:styleId="Style_32_ch" w:type="character">
    <w:name w:val="WW8Num6z0"/>
    <w:link w:val="Style_32"/>
  </w:style>
  <w:style w:styleId="Style_33" w:type="paragraph">
    <w:name w:val="WW8Num9z1"/>
    <w:link w:val="Style_33_ch"/>
  </w:style>
  <w:style w:styleId="Style_33_ch" w:type="character">
    <w:name w:val="WW8Num9z1"/>
    <w:link w:val="Style_33"/>
  </w:style>
  <w:style w:styleId="Style_34" w:type="paragraph">
    <w:name w:val="WW8Num4z8"/>
    <w:link w:val="Style_34_ch"/>
  </w:style>
  <w:style w:styleId="Style_34_ch" w:type="character">
    <w:name w:val="WW8Num4z8"/>
    <w:link w:val="Style_34"/>
  </w:style>
  <w:style w:styleId="Style_35" w:type="paragraph">
    <w:name w:val="No Spacing"/>
    <w:link w:val="Style_35_ch"/>
    <w:rPr>
      <w:rFonts w:ascii="Calibri" w:hAnsi="Calibri"/>
      <w:sz w:val="22"/>
    </w:rPr>
  </w:style>
  <w:style w:styleId="Style_35_ch" w:type="character">
    <w:name w:val="No Spacing"/>
    <w:link w:val="Style_35"/>
    <w:rPr>
      <w:rFonts w:ascii="Calibri" w:hAnsi="Calibri"/>
      <w:sz w:val="22"/>
    </w:rPr>
  </w:style>
  <w:style w:styleId="Style_36" w:type="paragraph">
    <w:name w:val="WW8Num9z3"/>
    <w:link w:val="Style_36_ch"/>
  </w:style>
  <w:style w:styleId="Style_36_ch" w:type="character">
    <w:name w:val="WW8Num9z3"/>
    <w:link w:val="Style_36"/>
  </w:style>
  <w:style w:styleId="Style_37" w:type="paragraph">
    <w:name w:val="Основной текст 2 Знак"/>
    <w:link w:val="Style_37_ch"/>
    <w:rPr>
      <w:rFonts w:ascii="Times New Roman" w:hAnsi="Times New Roman"/>
      <w:sz w:val="28"/>
    </w:rPr>
  </w:style>
  <w:style w:styleId="Style_37_ch" w:type="character">
    <w:name w:val="Основной текст 2 Знак"/>
    <w:link w:val="Style_37"/>
    <w:rPr>
      <w:rFonts w:ascii="Times New Roman" w:hAnsi="Times New Roman"/>
      <w:sz w:val="28"/>
    </w:rPr>
  </w:style>
  <w:style w:styleId="Style_38" w:type="paragraph">
    <w:name w:val="WW8Num2z1"/>
    <w:link w:val="Style_38_ch"/>
    <w:rPr>
      <w:rFonts w:ascii="Courier New" w:hAnsi="Courier New"/>
      <w:sz w:val="20"/>
    </w:rPr>
  </w:style>
  <w:style w:styleId="Style_38_ch" w:type="character">
    <w:name w:val="WW8Num2z1"/>
    <w:link w:val="Style_38"/>
    <w:rPr>
      <w:rFonts w:ascii="Courier New" w:hAnsi="Courier New"/>
      <w:sz w:val="20"/>
    </w:rPr>
  </w:style>
  <w:style w:styleId="Style_39" w:type="paragraph">
    <w:name w:val="WW8Num1z1"/>
    <w:link w:val="Style_39_ch"/>
  </w:style>
  <w:style w:styleId="Style_39_ch" w:type="character">
    <w:name w:val="WW8Num1z1"/>
    <w:link w:val="Style_39"/>
  </w:style>
  <w:style w:styleId="Style_40" w:type="paragraph">
    <w:name w:val="WW8Num7z2"/>
    <w:link w:val="Style_40_ch"/>
  </w:style>
  <w:style w:styleId="Style_40_ch" w:type="character">
    <w:name w:val="WW8Num7z2"/>
    <w:link w:val="Style_40"/>
  </w:style>
  <w:style w:styleId="Style_41" w:type="paragraph">
    <w:name w:val="toc 3"/>
    <w:next w:val="Style_4"/>
    <w:link w:val="Style_4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41_ch" w:type="character">
    <w:name w:val="toc 3"/>
    <w:link w:val="Style_41"/>
    <w:rPr>
      <w:rFonts w:ascii="XO Thames" w:hAnsi="XO Thames"/>
      <w:sz w:val="28"/>
    </w:rPr>
  </w:style>
  <w:style w:styleId="Style_42" w:type="paragraph">
    <w:name w:val="WW8Num4z4"/>
    <w:link w:val="Style_42_ch"/>
  </w:style>
  <w:style w:styleId="Style_42_ch" w:type="character">
    <w:name w:val="WW8Num4z4"/>
    <w:link w:val="Style_42"/>
  </w:style>
  <w:style w:styleId="Style_43" w:type="paragraph">
    <w:name w:val="WW8Num1z7"/>
    <w:link w:val="Style_43_ch"/>
  </w:style>
  <w:style w:styleId="Style_43_ch" w:type="character">
    <w:name w:val="WW8Num1z7"/>
    <w:link w:val="Style_43"/>
  </w:style>
  <w:style w:styleId="Style_44" w:type="paragraph">
    <w:name w:val="WW8Num1z8"/>
    <w:link w:val="Style_44_ch"/>
  </w:style>
  <w:style w:styleId="Style_44_ch" w:type="character">
    <w:name w:val="WW8Num1z8"/>
    <w:link w:val="Style_44"/>
  </w:style>
  <w:style w:styleId="Style_45" w:type="paragraph">
    <w:name w:val="WW8Num9z6"/>
    <w:link w:val="Style_45_ch"/>
  </w:style>
  <w:style w:styleId="Style_45_ch" w:type="character">
    <w:name w:val="WW8Num9z6"/>
    <w:link w:val="Style_45"/>
  </w:style>
  <w:style w:styleId="Style_46" w:type="paragraph">
    <w:name w:val="WW8Num4z2"/>
    <w:link w:val="Style_46_ch"/>
  </w:style>
  <w:style w:styleId="Style_46_ch" w:type="character">
    <w:name w:val="WW8Num4z2"/>
    <w:link w:val="Style_46"/>
  </w:style>
  <w:style w:styleId="Style_47" w:type="paragraph">
    <w:name w:val="Знак"/>
    <w:basedOn w:val="Style_4"/>
    <w:link w:val="Style_47_ch"/>
    <w:pPr>
      <w:spacing w:after="0" w:before="0" w:line="240" w:lineRule="auto"/>
      <w:ind/>
    </w:pPr>
    <w:rPr>
      <w:rFonts w:ascii="Verdana" w:hAnsi="Verdana"/>
      <w:sz w:val="20"/>
    </w:rPr>
  </w:style>
  <w:style w:styleId="Style_47_ch" w:type="character">
    <w:name w:val="Знак"/>
    <w:basedOn w:val="Style_4_ch"/>
    <w:link w:val="Style_47"/>
    <w:rPr>
      <w:rFonts w:ascii="Verdana" w:hAnsi="Verdana"/>
      <w:sz w:val="20"/>
    </w:rPr>
  </w:style>
  <w:style w:styleId="Style_48" w:type="paragraph">
    <w:name w:val="WW8Num5z4"/>
    <w:link w:val="Style_48_ch"/>
  </w:style>
  <w:style w:styleId="Style_48_ch" w:type="character">
    <w:name w:val="WW8Num5z4"/>
    <w:link w:val="Style_48"/>
  </w:style>
  <w:style w:styleId="Style_49" w:type="paragraph">
    <w:name w:val="List Paragraph"/>
    <w:basedOn w:val="Style_4"/>
    <w:link w:val="Style_49_ch"/>
    <w:pPr>
      <w:spacing w:after="0" w:line="240" w:lineRule="auto"/>
      <w:ind w:firstLine="0" w:left="720"/>
      <w:contextualSpacing w:val="1"/>
    </w:pPr>
    <w:rPr>
      <w:rFonts w:ascii="Times New Roman" w:hAnsi="Times New Roman"/>
      <w:sz w:val="26"/>
    </w:rPr>
  </w:style>
  <w:style w:styleId="Style_49_ch" w:type="character">
    <w:name w:val="List Paragraph"/>
    <w:basedOn w:val="Style_4_ch"/>
    <w:link w:val="Style_49"/>
    <w:rPr>
      <w:rFonts w:ascii="Times New Roman" w:hAnsi="Times New Roman"/>
      <w:sz w:val="26"/>
    </w:rPr>
  </w:style>
  <w:style w:styleId="Style_50" w:type="paragraph">
    <w:name w:val="Normal (Web)"/>
    <w:basedOn w:val="Style_4"/>
    <w:link w:val="Style_50_ch"/>
    <w:pPr>
      <w:spacing w:after="280" w:before="280" w:line="240" w:lineRule="auto"/>
      <w:ind/>
    </w:pPr>
    <w:rPr>
      <w:rFonts w:ascii="Times New Roman" w:hAnsi="Times New Roman"/>
      <w:sz w:val="24"/>
    </w:rPr>
  </w:style>
  <w:style w:styleId="Style_50_ch" w:type="character">
    <w:name w:val="Normal (Web)"/>
    <w:basedOn w:val="Style_4_ch"/>
    <w:link w:val="Style_50"/>
    <w:rPr>
      <w:rFonts w:ascii="Times New Roman" w:hAnsi="Times New Roman"/>
      <w:sz w:val="24"/>
    </w:rPr>
  </w:style>
  <w:style w:styleId="Style_51" w:type="paragraph">
    <w:name w:val="WW8Num9z7"/>
    <w:link w:val="Style_51_ch"/>
  </w:style>
  <w:style w:styleId="Style_51_ch" w:type="character">
    <w:name w:val="WW8Num9z7"/>
    <w:link w:val="Style_51"/>
  </w:style>
  <w:style w:styleId="Style_52" w:type="paragraph">
    <w:name w:val="WW8Num1z3"/>
    <w:link w:val="Style_52_ch"/>
  </w:style>
  <w:style w:styleId="Style_52_ch" w:type="character">
    <w:name w:val="WW8Num1z3"/>
    <w:link w:val="Style_52"/>
  </w:style>
  <w:style w:styleId="Style_53" w:type="paragraph">
    <w:name w:val="WW8Num1z5"/>
    <w:link w:val="Style_53_ch"/>
  </w:style>
  <w:style w:styleId="Style_53_ch" w:type="character">
    <w:name w:val="WW8Num1z5"/>
    <w:link w:val="Style_53"/>
  </w:style>
  <w:style w:styleId="Style_54" w:type="paragraph">
    <w:name w:val="WW8Num7z0"/>
    <w:link w:val="Style_54_ch"/>
  </w:style>
  <w:style w:styleId="Style_54_ch" w:type="character">
    <w:name w:val="WW8Num7z0"/>
    <w:link w:val="Style_54"/>
  </w:style>
  <w:style w:styleId="Style_55" w:type="paragraph">
    <w:name w:val="WW8Num7z7"/>
    <w:link w:val="Style_55_ch"/>
  </w:style>
  <w:style w:styleId="Style_55_ch" w:type="character">
    <w:name w:val="WW8Num7z7"/>
    <w:link w:val="Style_55"/>
  </w:style>
  <w:style w:styleId="Style_56" w:type="paragraph">
    <w:name w:val="heading 5"/>
    <w:next w:val="Style_4"/>
    <w:link w:val="Style_5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56_ch" w:type="character">
    <w:name w:val="heading 5"/>
    <w:link w:val="Style_56"/>
    <w:rPr>
      <w:rFonts w:ascii="XO Thames" w:hAnsi="XO Thames"/>
      <w:b w:val="1"/>
      <w:sz w:val="22"/>
    </w:rPr>
  </w:style>
  <w:style w:styleId="Style_57" w:type="paragraph">
    <w:name w:val="WW8Num5z5"/>
    <w:link w:val="Style_57_ch"/>
  </w:style>
  <w:style w:styleId="Style_57_ch" w:type="character">
    <w:name w:val="WW8Num5z5"/>
    <w:link w:val="Style_57"/>
  </w:style>
  <w:style w:styleId="Style_58" w:type="paragraph">
    <w:name w:val="ConsPlusNormal"/>
    <w:link w:val="Style_58_ch"/>
    <w:pPr>
      <w:widowControl w:val="0"/>
      <w:ind w:firstLine="720" w:left="0"/>
    </w:pPr>
    <w:rPr>
      <w:rFonts w:ascii="Arial" w:hAnsi="Arial"/>
    </w:rPr>
  </w:style>
  <w:style w:styleId="Style_58_ch" w:type="character">
    <w:name w:val="ConsPlusNormal"/>
    <w:link w:val="Style_58"/>
    <w:rPr>
      <w:rFonts w:ascii="Arial" w:hAnsi="Arial"/>
    </w:rPr>
  </w:style>
  <w:style w:styleId="Style_59" w:type="paragraph">
    <w:name w:val="WW8Num4z5"/>
    <w:link w:val="Style_59_ch"/>
  </w:style>
  <w:style w:styleId="Style_59_ch" w:type="character">
    <w:name w:val="WW8Num4z5"/>
    <w:link w:val="Style_59"/>
  </w:style>
  <w:style w:styleId="Style_60" w:type="paragraph">
    <w:name w:val="heading 1"/>
    <w:next w:val="Style_4"/>
    <w:link w:val="Style_6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60_ch" w:type="character">
    <w:name w:val="heading 1"/>
    <w:link w:val="Style_60"/>
    <w:rPr>
      <w:rFonts w:ascii="XO Thames" w:hAnsi="XO Thames"/>
      <w:b w:val="1"/>
      <w:sz w:val="32"/>
    </w:rPr>
  </w:style>
  <w:style w:styleId="Style_61" w:type="paragraph">
    <w:name w:val="WW8Num3z0"/>
    <w:link w:val="Style_61_ch"/>
  </w:style>
  <w:style w:styleId="Style_61_ch" w:type="character">
    <w:name w:val="WW8Num3z0"/>
    <w:link w:val="Style_61"/>
  </w:style>
  <w:style w:styleId="Style_62" w:type="paragraph">
    <w:name w:val="WW8Num1z0"/>
    <w:link w:val="Style_62_ch"/>
  </w:style>
  <w:style w:styleId="Style_62_ch" w:type="character">
    <w:name w:val="WW8Num1z0"/>
    <w:link w:val="Style_62"/>
  </w:style>
  <w:style w:styleId="Style_63" w:type="paragraph">
    <w:name w:val="Hyperlink"/>
    <w:link w:val="Style_63_ch"/>
    <w:rPr>
      <w:color w:val="0000FF"/>
      <w:u w:val="single"/>
    </w:rPr>
  </w:style>
  <w:style w:styleId="Style_63_ch" w:type="character">
    <w:name w:val="Hyperlink"/>
    <w:link w:val="Style_63"/>
    <w:rPr>
      <w:color w:val="0000FF"/>
      <w:u w:val="single"/>
    </w:rPr>
  </w:style>
  <w:style w:styleId="Style_64" w:type="paragraph">
    <w:name w:val="Footnote"/>
    <w:link w:val="Style_64_ch"/>
    <w:pPr>
      <w:ind w:firstLine="851" w:left="0"/>
      <w:jc w:val="both"/>
    </w:pPr>
    <w:rPr>
      <w:rFonts w:ascii="XO Thames" w:hAnsi="XO Thames"/>
      <w:sz w:val="22"/>
    </w:rPr>
  </w:style>
  <w:style w:styleId="Style_64_ch" w:type="character">
    <w:name w:val="Footnote"/>
    <w:link w:val="Style_64"/>
    <w:rPr>
      <w:rFonts w:ascii="XO Thames" w:hAnsi="XO Thames"/>
      <w:sz w:val="22"/>
    </w:rPr>
  </w:style>
  <w:style w:styleId="Style_65" w:type="paragraph">
    <w:name w:val="toc 1"/>
    <w:next w:val="Style_4"/>
    <w:link w:val="Style_6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65_ch" w:type="character">
    <w:name w:val="toc 1"/>
    <w:link w:val="Style_65"/>
    <w:rPr>
      <w:rFonts w:ascii="XO Thames" w:hAnsi="XO Thames"/>
      <w:b w:val="1"/>
      <w:sz w:val="28"/>
    </w:rPr>
  </w:style>
  <w:style w:styleId="Style_66" w:type="paragraph">
    <w:name w:val="WW8Num7z3"/>
    <w:link w:val="Style_66_ch"/>
  </w:style>
  <w:style w:styleId="Style_66_ch" w:type="character">
    <w:name w:val="WW8Num7z3"/>
    <w:link w:val="Style_66"/>
  </w:style>
  <w:style w:styleId="Style_67" w:type="paragraph">
    <w:name w:val="Header and Footer"/>
    <w:link w:val="Style_67_ch"/>
    <w:pPr>
      <w:spacing w:line="240" w:lineRule="auto"/>
      <w:ind/>
      <w:jc w:val="both"/>
    </w:pPr>
    <w:rPr>
      <w:rFonts w:ascii="XO Thames" w:hAnsi="XO Thames"/>
      <w:sz w:val="28"/>
    </w:rPr>
  </w:style>
  <w:style w:styleId="Style_67_ch" w:type="character">
    <w:name w:val="Header and Footer"/>
    <w:link w:val="Style_67"/>
    <w:rPr>
      <w:rFonts w:ascii="XO Thames" w:hAnsi="XO Thames"/>
      <w:sz w:val="28"/>
    </w:rPr>
  </w:style>
  <w:style w:styleId="Style_68" w:type="paragraph">
    <w:name w:val="Содержимое врезки"/>
    <w:basedOn w:val="Style_4"/>
    <w:link w:val="Style_68_ch"/>
  </w:style>
  <w:style w:styleId="Style_68_ch" w:type="character">
    <w:name w:val="Содержимое врезки"/>
    <w:basedOn w:val="Style_4_ch"/>
    <w:link w:val="Style_68"/>
  </w:style>
  <w:style w:styleId="Style_69" w:type="paragraph">
    <w:name w:val="fontstyle01"/>
    <w:link w:val="Style_69_ch"/>
    <w:rPr>
      <w:rFonts w:ascii="Times New Roman" w:hAnsi="Times New Roman"/>
      <w:color w:val="000000"/>
      <w:sz w:val="28"/>
    </w:rPr>
  </w:style>
  <w:style w:styleId="Style_69_ch" w:type="character">
    <w:name w:val="fontstyle01"/>
    <w:link w:val="Style_69"/>
    <w:rPr>
      <w:rFonts w:ascii="Times New Roman" w:hAnsi="Times New Roman"/>
      <w:color w:val="000000"/>
      <w:sz w:val="28"/>
    </w:rPr>
  </w:style>
  <w:style w:styleId="Style_70" w:type="paragraph">
    <w:name w:val="WW8Num8z1"/>
    <w:link w:val="Style_70_ch"/>
    <w:rPr>
      <w:rFonts w:ascii="Courier New" w:hAnsi="Courier New"/>
      <w:sz w:val="20"/>
    </w:rPr>
  </w:style>
  <w:style w:styleId="Style_70_ch" w:type="character">
    <w:name w:val="WW8Num8z1"/>
    <w:link w:val="Style_70"/>
    <w:rPr>
      <w:rFonts w:ascii="Courier New" w:hAnsi="Courier New"/>
      <w:sz w:val="20"/>
    </w:rPr>
  </w:style>
  <w:style w:styleId="Style_71" w:type="paragraph">
    <w:name w:val="toc 9"/>
    <w:next w:val="Style_4"/>
    <w:link w:val="Style_7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71_ch" w:type="character">
    <w:name w:val="toc 9"/>
    <w:link w:val="Style_71"/>
    <w:rPr>
      <w:rFonts w:ascii="XO Thames" w:hAnsi="XO Thames"/>
      <w:sz w:val="28"/>
    </w:rPr>
  </w:style>
  <w:style w:styleId="Style_72" w:type="paragraph">
    <w:name w:val="Default Paragraph Font"/>
    <w:link w:val="Style_72_ch"/>
  </w:style>
  <w:style w:styleId="Style_72_ch" w:type="character">
    <w:name w:val="Default Paragraph Font"/>
    <w:link w:val="Style_72"/>
  </w:style>
  <w:style w:styleId="Style_73" w:type="paragraph">
    <w:name w:val="WW8Num7z6"/>
    <w:link w:val="Style_73_ch"/>
  </w:style>
  <w:style w:styleId="Style_73_ch" w:type="character">
    <w:name w:val="WW8Num7z6"/>
    <w:link w:val="Style_73"/>
  </w:style>
  <w:style w:styleId="Style_74" w:type="paragraph">
    <w:name w:val="toc 8"/>
    <w:next w:val="Style_4"/>
    <w:link w:val="Style_7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74_ch" w:type="character">
    <w:name w:val="toc 8"/>
    <w:link w:val="Style_74"/>
    <w:rPr>
      <w:rFonts w:ascii="XO Thames" w:hAnsi="XO Thames"/>
      <w:sz w:val="28"/>
    </w:rPr>
  </w:style>
  <w:style w:styleId="Style_75" w:type="paragraph">
    <w:name w:val="Верхний колонтитул Знак"/>
    <w:link w:val="Style_75_ch"/>
    <w:rPr>
      <w:sz w:val="22"/>
    </w:rPr>
  </w:style>
  <w:style w:styleId="Style_75_ch" w:type="character">
    <w:name w:val="Верхний колонтитул Знак"/>
    <w:link w:val="Style_75"/>
    <w:rPr>
      <w:sz w:val="22"/>
    </w:rPr>
  </w:style>
  <w:style w:styleId="Style_2" w:type="paragraph">
    <w:name w:val="footer"/>
    <w:basedOn w:val="Style_4"/>
    <w:link w:val="Style_2_ch"/>
    <w:pPr>
      <w:tabs>
        <w:tab w:leader="none" w:pos="4677" w:val="center"/>
        <w:tab w:leader="none" w:pos="9355" w:val="right"/>
      </w:tabs>
      <w:ind/>
    </w:pPr>
  </w:style>
  <w:style w:styleId="Style_2_ch" w:type="character">
    <w:name w:val="footer"/>
    <w:basedOn w:val="Style_4_ch"/>
    <w:link w:val="Style_2"/>
  </w:style>
  <w:style w:styleId="Style_76" w:type="paragraph">
    <w:name w:val="List"/>
    <w:basedOn w:val="Style_77"/>
    <w:link w:val="Style_76_ch"/>
    <w:rPr>
      <w:rFonts w:ascii="Times New Roman" w:hAnsi="Times New Roman"/>
    </w:rPr>
  </w:style>
  <w:style w:styleId="Style_76_ch" w:type="character">
    <w:name w:val="List"/>
    <w:basedOn w:val="Style_77_ch"/>
    <w:link w:val="Style_76"/>
    <w:rPr>
      <w:rFonts w:ascii="Times New Roman" w:hAnsi="Times New Roman"/>
    </w:rPr>
  </w:style>
  <w:style w:styleId="Style_78" w:type="paragraph">
    <w:name w:val="Верхний и нижний колонтитулы"/>
    <w:basedOn w:val="Style_4"/>
    <w:link w:val="Style_78_ch"/>
    <w:pPr>
      <w:tabs>
        <w:tab w:leader="none" w:pos="4819" w:val="center"/>
        <w:tab w:leader="none" w:pos="9638" w:val="right"/>
      </w:tabs>
      <w:ind/>
    </w:pPr>
  </w:style>
  <w:style w:styleId="Style_78_ch" w:type="character">
    <w:name w:val="Верхний и нижний колонтитулы"/>
    <w:basedOn w:val="Style_4_ch"/>
    <w:link w:val="Style_78"/>
  </w:style>
  <w:style w:styleId="Style_79" w:type="paragraph">
    <w:name w:val="toc 5"/>
    <w:next w:val="Style_4"/>
    <w:link w:val="Style_7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79_ch" w:type="character">
    <w:name w:val="toc 5"/>
    <w:link w:val="Style_79"/>
    <w:rPr>
      <w:rFonts w:ascii="XO Thames" w:hAnsi="XO Thames"/>
      <w:sz w:val="28"/>
    </w:rPr>
  </w:style>
  <w:style w:styleId="Style_80" w:type="paragraph">
    <w:name w:val="WW8Num1z4"/>
    <w:link w:val="Style_80_ch"/>
  </w:style>
  <w:style w:styleId="Style_80_ch" w:type="character">
    <w:name w:val="WW8Num1z4"/>
    <w:link w:val="Style_80"/>
  </w:style>
  <w:style w:styleId="Style_81" w:type="paragraph">
    <w:name w:val="WW8Num5z0"/>
    <w:link w:val="Style_81_ch"/>
    <w:rPr>
      <w:b w:val="0"/>
    </w:rPr>
  </w:style>
  <w:style w:styleId="Style_81_ch" w:type="character">
    <w:name w:val="WW8Num5z0"/>
    <w:link w:val="Style_81"/>
    <w:rPr>
      <w:b w:val="0"/>
    </w:rPr>
  </w:style>
  <w:style w:styleId="Style_82" w:type="paragraph">
    <w:name w:val="Основной текст Знак"/>
    <w:link w:val="Style_82_ch"/>
    <w:rPr>
      <w:sz w:val="22"/>
    </w:rPr>
  </w:style>
  <w:style w:styleId="Style_82_ch" w:type="character">
    <w:name w:val="Основной текст Знак"/>
    <w:link w:val="Style_82"/>
    <w:rPr>
      <w:sz w:val="22"/>
    </w:rPr>
  </w:style>
  <w:style w:styleId="Style_83" w:type="paragraph">
    <w:name w:val="WW8Num5z7"/>
    <w:link w:val="Style_83_ch"/>
  </w:style>
  <w:style w:styleId="Style_83_ch" w:type="character">
    <w:name w:val="WW8Num5z7"/>
    <w:link w:val="Style_83"/>
  </w:style>
  <w:style w:styleId="Style_84" w:type="paragraph">
    <w:name w:val="WW8Num4z0"/>
    <w:link w:val="Style_84_ch"/>
  </w:style>
  <w:style w:styleId="Style_84_ch" w:type="character">
    <w:name w:val="WW8Num4z0"/>
    <w:link w:val="Style_84"/>
  </w:style>
  <w:style w:styleId="Style_77" w:type="paragraph">
    <w:name w:val="Body Text"/>
    <w:basedOn w:val="Style_4"/>
    <w:link w:val="Style_77_ch"/>
    <w:pPr>
      <w:spacing w:after="120" w:before="0"/>
      <w:ind/>
    </w:pPr>
  </w:style>
  <w:style w:styleId="Style_77_ch" w:type="character">
    <w:name w:val="Body Text"/>
    <w:basedOn w:val="Style_4_ch"/>
    <w:link w:val="Style_77"/>
  </w:style>
  <w:style w:styleId="Style_85" w:type="paragraph">
    <w:name w:val="WW8Num9z5"/>
    <w:link w:val="Style_85_ch"/>
  </w:style>
  <w:style w:styleId="Style_85_ch" w:type="character">
    <w:name w:val="WW8Num9z5"/>
    <w:link w:val="Style_85"/>
  </w:style>
  <w:style w:styleId="Style_86" w:type="paragraph">
    <w:name w:val="WW8Num9z8"/>
    <w:link w:val="Style_86_ch"/>
  </w:style>
  <w:style w:styleId="Style_86_ch" w:type="character">
    <w:name w:val="WW8Num9z8"/>
    <w:link w:val="Style_86"/>
  </w:style>
  <w:style w:styleId="Style_87" w:type="paragraph">
    <w:name w:val="Текст выноски Знак"/>
    <w:link w:val="Style_87_ch"/>
    <w:rPr>
      <w:rFonts w:ascii="Tahoma" w:hAnsi="Tahoma"/>
      <w:sz w:val="16"/>
    </w:rPr>
  </w:style>
  <w:style w:styleId="Style_87_ch" w:type="character">
    <w:name w:val="Текст выноски Знак"/>
    <w:link w:val="Style_87"/>
    <w:rPr>
      <w:rFonts w:ascii="Tahoma" w:hAnsi="Tahoma"/>
      <w:sz w:val="16"/>
    </w:rPr>
  </w:style>
  <w:style w:styleId="Style_88" w:type="paragraph">
    <w:name w:val="WW8Num5z6"/>
    <w:link w:val="Style_88_ch"/>
  </w:style>
  <w:style w:styleId="Style_88_ch" w:type="character">
    <w:name w:val="WW8Num5z6"/>
    <w:link w:val="Style_88"/>
  </w:style>
  <w:style w:styleId="Style_89" w:type="paragraph">
    <w:name w:val="WW8Num7z1"/>
    <w:link w:val="Style_89_ch"/>
  </w:style>
  <w:style w:styleId="Style_89_ch" w:type="character">
    <w:name w:val="WW8Num7z1"/>
    <w:link w:val="Style_89"/>
  </w:style>
  <w:style w:styleId="Style_90" w:type="paragraph">
    <w:name w:val="Subtitle"/>
    <w:next w:val="Style_4"/>
    <w:link w:val="Style_9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90_ch" w:type="character">
    <w:name w:val="Subtitle"/>
    <w:link w:val="Style_90"/>
    <w:rPr>
      <w:rFonts w:ascii="XO Thames" w:hAnsi="XO Thames"/>
      <w:i w:val="1"/>
      <w:sz w:val="24"/>
    </w:rPr>
  </w:style>
  <w:style w:styleId="Style_91" w:type="paragraph">
    <w:name w:val="WW8Num2z2"/>
    <w:link w:val="Style_91_ch"/>
    <w:rPr>
      <w:rFonts w:ascii="Wingdings" w:hAnsi="Wingdings"/>
      <w:sz w:val="20"/>
    </w:rPr>
  </w:style>
  <w:style w:styleId="Style_91_ch" w:type="character">
    <w:name w:val="WW8Num2z2"/>
    <w:link w:val="Style_91"/>
    <w:rPr>
      <w:rFonts w:ascii="Wingdings" w:hAnsi="Wingdings"/>
      <w:sz w:val="20"/>
    </w:rPr>
  </w:style>
  <w:style w:styleId="Style_92" w:type="paragraph">
    <w:name w:val="WW8Num5z2"/>
    <w:link w:val="Style_92_ch"/>
  </w:style>
  <w:style w:styleId="Style_92_ch" w:type="character">
    <w:name w:val="WW8Num5z2"/>
    <w:link w:val="Style_92"/>
  </w:style>
  <w:style w:styleId="Style_93" w:type="paragraph">
    <w:name w:val="Title"/>
    <w:basedOn w:val="Style_4"/>
    <w:next w:val="Style_77"/>
    <w:link w:val="Style_93_ch"/>
    <w:uiPriority w:val="10"/>
    <w:qFormat/>
    <w:pPr>
      <w:keepNext w:val="1"/>
      <w:spacing w:after="120" w:before="240"/>
      <w:ind/>
    </w:pPr>
    <w:rPr>
      <w:rFonts w:ascii="Times New Roman" w:hAnsi="Times New Roman"/>
      <w:sz w:val="28"/>
    </w:rPr>
  </w:style>
  <w:style w:styleId="Style_93_ch" w:type="character">
    <w:name w:val="Title"/>
    <w:basedOn w:val="Style_4_ch"/>
    <w:link w:val="Style_93"/>
    <w:rPr>
      <w:rFonts w:ascii="Times New Roman" w:hAnsi="Times New Roman"/>
      <w:sz w:val="28"/>
    </w:rPr>
  </w:style>
  <w:style w:styleId="Style_94" w:type="paragraph">
    <w:name w:val="heading 4"/>
    <w:next w:val="Style_4"/>
    <w:link w:val="Style_9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94_ch" w:type="character">
    <w:name w:val="heading 4"/>
    <w:link w:val="Style_94"/>
    <w:rPr>
      <w:rFonts w:ascii="XO Thames" w:hAnsi="XO Thames"/>
      <w:b w:val="1"/>
      <w:sz w:val="24"/>
    </w:rPr>
  </w:style>
  <w:style w:styleId="Style_95" w:type="paragraph">
    <w:name w:val="WW8Num7z8"/>
    <w:link w:val="Style_95_ch"/>
  </w:style>
  <w:style w:styleId="Style_95_ch" w:type="character">
    <w:name w:val="WW8Num7z8"/>
    <w:link w:val="Style_95"/>
  </w:style>
  <w:style w:styleId="Style_96" w:type="paragraph">
    <w:name w:val="WW8Num5z3"/>
    <w:link w:val="Style_96_ch"/>
  </w:style>
  <w:style w:styleId="Style_96_ch" w:type="character">
    <w:name w:val="WW8Num5z3"/>
    <w:link w:val="Style_96"/>
  </w:style>
  <w:style w:styleId="Style_97" w:type="paragraph">
    <w:name w:val="Основной шрифт абзаца1"/>
    <w:link w:val="Style_97_ch"/>
  </w:style>
  <w:style w:styleId="Style_97_ch" w:type="character">
    <w:name w:val="Основной шрифт абзаца1"/>
    <w:link w:val="Style_97"/>
  </w:style>
  <w:style w:styleId="Style_98" w:type="paragraph">
    <w:name w:val="Нижний колонтитул Знак"/>
    <w:link w:val="Style_98_ch"/>
    <w:rPr>
      <w:sz w:val="22"/>
    </w:rPr>
  </w:style>
  <w:style w:styleId="Style_98_ch" w:type="character">
    <w:name w:val="Нижний колонтитул Знак"/>
    <w:link w:val="Style_98"/>
    <w:rPr>
      <w:sz w:val="22"/>
    </w:rPr>
  </w:style>
  <w:style w:styleId="Style_99" w:type="paragraph">
    <w:name w:val="WW8Num8z0"/>
    <w:link w:val="Style_99_ch"/>
    <w:rPr>
      <w:rFonts w:ascii="Symbol" w:hAnsi="Symbol"/>
      <w:sz w:val="20"/>
    </w:rPr>
  </w:style>
  <w:style w:styleId="Style_99_ch" w:type="character">
    <w:name w:val="WW8Num8z0"/>
    <w:link w:val="Style_99"/>
    <w:rPr>
      <w:rFonts w:ascii="Symbol" w:hAnsi="Symbol"/>
      <w:sz w:val="20"/>
    </w:rPr>
  </w:style>
  <w:style w:styleId="Style_100" w:type="paragraph">
    <w:name w:val="heading 2"/>
    <w:next w:val="Style_4"/>
    <w:link w:val="Style_10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100_ch" w:type="character">
    <w:name w:val="heading 2"/>
    <w:link w:val="Style_100"/>
    <w:rPr>
      <w:rFonts w:ascii="XO Thames" w:hAnsi="XO Thames"/>
      <w:b w:val="1"/>
      <w:sz w:val="28"/>
    </w:rPr>
  </w:style>
  <w:style w:styleId="Style_101" w:type="paragraph">
    <w:name w:val="WW8Num7z5"/>
    <w:link w:val="Style_101_ch"/>
  </w:style>
  <w:style w:styleId="Style_101_ch" w:type="character">
    <w:name w:val="WW8Num7z5"/>
    <w:link w:val="Style_101"/>
  </w:style>
  <w:style w:styleId="Style_102" w:type="paragraph">
    <w:name w:val="ConsPlusNonformat"/>
    <w:link w:val="Style_102_ch"/>
    <w:pPr>
      <w:widowControl w:val="0"/>
      <w:ind/>
    </w:pPr>
    <w:rPr>
      <w:rFonts w:ascii="Courier New" w:hAnsi="Courier New"/>
    </w:rPr>
  </w:style>
  <w:style w:styleId="Style_102_ch" w:type="character">
    <w:name w:val="ConsPlusNonformat"/>
    <w:link w:val="Style_102"/>
    <w:rPr>
      <w:rFonts w:ascii="Courier New" w:hAnsi="Courier New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03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2026-03-30T06:55:57Z</dcterms:modified>
</cp:coreProperties>
</file>