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103"/>
      </w:pPr>
      <w:r>
        <w:t>Приложение</w:t>
      </w:r>
    </w:p>
    <w:p w14:paraId="04000000">
      <w:pPr>
        <w:tabs>
          <w:tab w:leader="none" w:pos="7050" w:val="left"/>
        </w:tabs>
        <w:ind w:firstLine="0" w:left="5103"/>
      </w:pPr>
      <w:r>
        <w:tab/>
      </w:r>
    </w:p>
    <w:p w14:paraId="05000000">
      <w:pPr>
        <w:ind w:firstLine="0" w:left="5103"/>
      </w:pPr>
      <w:r>
        <w:t>УТВЕРЖДЕН</w:t>
      </w:r>
    </w:p>
    <w:p w14:paraId="06000000">
      <w:pPr>
        <w:ind w:firstLine="0" w:left="5103"/>
      </w:pPr>
      <w:r>
        <w:t>решени</w:t>
      </w:r>
      <w:r>
        <w:t>ем</w:t>
      </w:r>
      <w:r>
        <w:t xml:space="preserve"> Совета </w:t>
      </w:r>
    </w:p>
    <w:p w14:paraId="07000000">
      <w:pPr>
        <w:ind w:firstLine="0" w:left="5103" w:right="-675"/>
      </w:pPr>
      <w:r>
        <w:t>муниципального образования</w:t>
      </w:r>
    </w:p>
    <w:p w14:paraId="08000000">
      <w:pPr>
        <w:ind w:firstLine="0" w:left="5103"/>
      </w:pPr>
      <w:r>
        <w:t>Туапсинский муниципальный округ Краснодарского края</w:t>
      </w:r>
    </w:p>
    <w:p w14:paraId="09000000">
      <w:pPr>
        <w:ind w:firstLine="0" w:left="5103"/>
        <w:outlineLvl w:val="1"/>
      </w:pPr>
      <w:r>
        <w:t xml:space="preserve">от 26.06.2026 </w:t>
      </w:r>
      <w:r>
        <w:t xml:space="preserve"> №</w:t>
      </w:r>
      <w:r>
        <w:t xml:space="preserve"> 420</w:t>
      </w:r>
    </w:p>
    <w:p w14:paraId="0A000000">
      <w:pPr>
        <w:ind w:firstLine="0" w:left="5670"/>
        <w:outlineLvl w:val="1"/>
      </w:pPr>
    </w:p>
    <w:p w14:paraId="0B000000">
      <w:pPr>
        <w:ind w:firstLine="0" w:left="5670"/>
        <w:outlineLvl w:val="1"/>
      </w:pPr>
    </w:p>
    <w:p w14:paraId="0C000000">
      <w:pPr>
        <w:ind w:firstLine="0" w:left="5670"/>
        <w:outlineLvl w:val="1"/>
      </w:pPr>
    </w:p>
    <w:p w14:paraId="0D000000">
      <w:pPr>
        <w:ind w:firstLine="0" w:left="5670"/>
        <w:outlineLvl w:val="1"/>
      </w:pPr>
    </w:p>
    <w:p w14:paraId="0E000000">
      <w:pPr>
        <w:widowControl w:val="0"/>
        <w:ind w:firstLine="0" w:left="142" w:right="-1"/>
        <w:jc w:val="center"/>
        <w:rPr>
          <w:b w:val="1"/>
        </w:rPr>
      </w:pPr>
      <w:r>
        <w:rPr>
          <w:b w:val="1"/>
        </w:rPr>
        <w:t>ПОРЯДОК</w:t>
      </w:r>
    </w:p>
    <w:p w14:paraId="0F000000">
      <w:pPr>
        <w:widowControl w:val="0"/>
        <w:ind w:firstLine="0" w:left="142" w:right="-1"/>
        <w:jc w:val="center"/>
        <w:rPr>
          <w:b w:val="1"/>
        </w:rPr>
      </w:pPr>
      <w:r>
        <w:rPr>
          <w:b w:val="1"/>
        </w:rPr>
        <w:t xml:space="preserve">увольнения (досрочного прекращения полномочий, </w:t>
      </w:r>
    </w:p>
    <w:p w14:paraId="10000000">
      <w:pPr>
        <w:widowControl w:val="0"/>
        <w:ind w:firstLine="0" w:left="142" w:right="-1"/>
        <w:jc w:val="center"/>
        <w:rPr>
          <w:b w:val="1"/>
        </w:rPr>
      </w:pPr>
      <w:r>
        <w:rPr>
          <w:b w:val="1"/>
        </w:rPr>
        <w:t xml:space="preserve">освобождения от должности) лиц, </w:t>
      </w:r>
    </w:p>
    <w:p w14:paraId="11000000">
      <w:pPr>
        <w:widowControl w:val="0"/>
        <w:ind w:firstLine="0" w:left="142" w:right="-1"/>
        <w:jc w:val="center"/>
        <w:rPr>
          <w:b w:val="1"/>
        </w:rPr>
      </w:pPr>
      <w:r>
        <w:rPr>
          <w:b w:val="1"/>
        </w:rPr>
        <w:t>замещающих</w:t>
      </w:r>
      <w:r>
        <w:rPr>
          <w:b w:val="1"/>
        </w:rPr>
        <w:t xml:space="preserve"> муниципальные должности</w:t>
      </w:r>
    </w:p>
    <w:p w14:paraId="12000000">
      <w:pPr>
        <w:widowControl w:val="0"/>
        <w:ind w:firstLine="0" w:left="142" w:right="-1"/>
        <w:jc w:val="center"/>
        <w:rPr>
          <w:b w:val="1"/>
        </w:rPr>
      </w:pPr>
      <w:r>
        <w:rPr>
          <w:b w:val="1"/>
        </w:rPr>
        <w:t xml:space="preserve">в Контрольно-счетной палате </w:t>
      </w:r>
      <w:r>
        <w:rPr>
          <w:b w:val="1"/>
        </w:rPr>
        <w:t>муниципального</w:t>
      </w:r>
    </w:p>
    <w:p w14:paraId="13000000">
      <w:pPr>
        <w:widowControl w:val="0"/>
        <w:ind w:firstLine="0" w:left="142" w:right="-1"/>
        <w:jc w:val="center"/>
        <w:rPr>
          <w:b w:val="1"/>
        </w:rPr>
      </w:pPr>
      <w:r>
        <w:rPr>
          <w:b w:val="1"/>
        </w:rPr>
        <w:t>образования Туапсинский муниципальный округ</w:t>
      </w:r>
    </w:p>
    <w:p w14:paraId="14000000">
      <w:pPr>
        <w:widowControl w:val="0"/>
        <w:ind w:firstLine="0" w:left="142" w:right="-1"/>
        <w:jc w:val="center"/>
        <w:rPr>
          <w:b w:val="1"/>
        </w:rPr>
      </w:pPr>
      <w:r>
        <w:rPr>
          <w:b w:val="1"/>
        </w:rPr>
        <w:t>Краснодарского края</w:t>
      </w:r>
      <w:r>
        <w:rPr>
          <w:b w:val="1"/>
        </w:rPr>
        <w:t>,</w:t>
      </w:r>
      <w:r>
        <w:rPr>
          <w:b w:val="1"/>
        </w:rPr>
        <w:t xml:space="preserve"> в связи с утратой доверия</w:t>
      </w:r>
    </w:p>
    <w:p w14:paraId="15000000">
      <w:pPr>
        <w:widowControl w:val="0"/>
        <w:ind w:firstLine="0" w:left="142" w:right="-1"/>
        <w:jc w:val="both"/>
      </w:pPr>
    </w:p>
    <w:p w14:paraId="16000000">
      <w:pPr>
        <w:widowControl w:val="0"/>
        <w:ind w:firstLine="0" w:left="142" w:right="-1"/>
        <w:jc w:val="center"/>
      </w:pPr>
    </w:p>
    <w:p w14:paraId="17000000">
      <w:pPr>
        <w:widowControl w:val="0"/>
        <w:ind w:firstLine="566" w:left="142" w:right="-1"/>
        <w:jc w:val="both"/>
      </w:pPr>
      <w:r>
        <w:t xml:space="preserve">1. </w:t>
      </w:r>
      <w:r>
        <w:t>Порядок увольнения (досрочного прекращения полномочий, освобождения от должности) лиц, замещающих муниципальные должности</w:t>
      </w:r>
      <w:r>
        <w:t xml:space="preserve"> в Контрольно-счетной палате муниципального образования Туапсинский муниципальный округ Краснодарского края</w:t>
      </w:r>
      <w:r>
        <w:t>,</w:t>
      </w:r>
      <w:r>
        <w:t xml:space="preserve"> в связи с утратой доверия </w:t>
      </w:r>
      <w:r>
        <w:t xml:space="preserve">                        </w:t>
      </w:r>
      <w:r>
        <w:t xml:space="preserve">в соответствии </w:t>
      </w:r>
      <w:r>
        <w:t>со статьей 10 Закона Краснодарского края от 12 декабря 2025 г. № 5458-КЗ «Об отдельных вопросах организации местного самоуправления в Краснодарском крае</w:t>
      </w:r>
      <w:r>
        <w:t>» распространяется на лиц, замещающих должности председателя</w:t>
      </w:r>
      <w:r>
        <w:t xml:space="preserve"> и</w:t>
      </w:r>
      <w:r>
        <w:t xml:space="preserve">  аудитора </w:t>
      </w:r>
      <w:r>
        <w:t>К</w:t>
      </w:r>
      <w:r>
        <w:t>онтрольно-счетн</w:t>
      </w:r>
      <w:r>
        <w:t>ой палаты</w:t>
      </w:r>
      <w:r>
        <w:t xml:space="preserve"> муниципального образования Туапсинский муниципальный округ Краснодарского края</w:t>
      </w:r>
      <w:r>
        <w:t xml:space="preserve"> </w:t>
      </w:r>
      <w:r>
        <w:t xml:space="preserve">              </w:t>
      </w:r>
      <w:r>
        <w:t xml:space="preserve">(далее </w:t>
      </w:r>
      <w:r>
        <w:t>– Палата, далее -</w:t>
      </w:r>
      <w:r>
        <w:t xml:space="preserve"> лиц</w:t>
      </w:r>
      <w:r>
        <w:t>о</w:t>
      </w:r>
      <w:r>
        <w:t>, замещающ</w:t>
      </w:r>
      <w:r>
        <w:t>его</w:t>
      </w:r>
      <w:r>
        <w:t xml:space="preserve"> муниципальн</w:t>
      </w:r>
      <w:r>
        <w:t>ую</w:t>
      </w:r>
      <w:r>
        <w:t xml:space="preserve"> должност</w:t>
      </w:r>
      <w:r>
        <w:t>ь</w:t>
      </w:r>
      <w:r>
        <w:t>).</w:t>
      </w:r>
    </w:p>
    <w:p w14:paraId="18000000">
      <w:pPr>
        <w:widowControl w:val="0"/>
        <w:ind w:firstLine="566" w:left="142" w:right="-1"/>
        <w:jc w:val="both"/>
      </w:pPr>
      <w:r>
        <w:t xml:space="preserve">2. Лицо, замещающее муниципальную должность, подлежит увольнению (досрочно прекращает полномочия, освобождается от должности) в связи </w:t>
      </w:r>
      <w:r>
        <w:t xml:space="preserve">               </w:t>
      </w:r>
      <w:r>
        <w:t xml:space="preserve">с утратой доверия в </w:t>
      </w:r>
      <w:r>
        <w:t xml:space="preserve">случаях совершения </w:t>
      </w:r>
      <w:r>
        <w:t xml:space="preserve">следующих </w:t>
      </w:r>
      <w:r>
        <w:t>правонарушений</w:t>
      </w:r>
      <w:r>
        <w:t>:</w:t>
      </w:r>
    </w:p>
    <w:p w14:paraId="19000000">
      <w:pPr>
        <w:widowControl w:val="0"/>
        <w:ind w:firstLine="566" w:left="142" w:right="-1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</w:t>
      </w:r>
      <w:r>
        <w:t>, за исключением случаев, установленных федеральными законами</w:t>
      </w:r>
      <w:r>
        <w:t>;</w:t>
      </w:r>
    </w:p>
    <w:p w14:paraId="1A000000">
      <w:pPr>
        <w:widowControl w:val="0"/>
        <w:ind w:firstLine="566" w:left="142" w:right="-1"/>
        <w:jc w:val="both"/>
      </w:pPr>
      <w:r>
        <w:t xml:space="preserve">2) непредставление лицом сведений о доходах, об имуществе и обязательствах имущественного характера, </w:t>
      </w:r>
      <w:r>
        <w:t>предусмотренных Федеральным законом от 25 декабря 2008 г. № 273-ФЗ «О противодействии коррупции»,</w:t>
      </w:r>
      <w:r>
        <w:t xml:space="preserve"> представления заведомо неполных сведений</w:t>
      </w:r>
      <w:r>
        <w:t xml:space="preserve">, за исключением, случаев установленных федеральными законами, либо предоставления заведомо недостоверных сведений, если иное не предусмотрено федеральными </w:t>
      </w:r>
      <w:r>
        <w:t>законами</w:t>
      </w:r>
      <w:r>
        <w:t>;</w:t>
      </w:r>
    </w:p>
    <w:p w14:paraId="1B000000">
      <w:pPr>
        <w:widowControl w:val="0"/>
        <w:ind w:firstLine="566" w:left="142" w:right="-1"/>
        <w:jc w:val="both"/>
      </w:pPr>
      <w:r>
        <w:t xml:space="preserve">3) участия лица на платной основе в деятельности органа управления </w:t>
      </w:r>
      <w:r>
        <w:t>коммерческой организации, за исключением случаев, установленных федеральным законом;</w:t>
      </w:r>
    </w:p>
    <w:p w14:paraId="1C000000">
      <w:pPr>
        <w:widowControl w:val="0"/>
        <w:ind w:firstLine="566" w:left="142" w:right="-1"/>
      </w:pPr>
      <w:r>
        <w:t xml:space="preserve">4) осуществления лицом предпринимательской деятельности; </w:t>
      </w:r>
    </w:p>
    <w:p w14:paraId="1D000000">
      <w:pPr>
        <w:widowControl w:val="0"/>
        <w:ind w:firstLine="566" w:left="142" w:right="-1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1E000000">
      <w:pPr>
        <w:widowControl w:val="0"/>
        <w:ind w:firstLine="566" w:left="142" w:right="-1"/>
        <w:jc w:val="both"/>
      </w:pPr>
      <w:r>
        <w:t xml:space="preserve">3. </w:t>
      </w:r>
      <w: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   к   конфликту</w:t>
      </w:r>
      <w:r>
        <w:t xml:space="preserve"> </w:t>
      </w:r>
      <w:r>
        <w:t>интересов, подлежит увольнению (освобожд</w:t>
      </w:r>
      <w:r>
        <w:t>ению</w:t>
      </w:r>
      <w:r>
        <w:t xml:space="preserve">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</w:t>
      </w:r>
      <w:r>
        <w:t>, за исключением случаев установленных федеральными</w:t>
      </w:r>
      <w:r>
        <w:t xml:space="preserve"> законами</w:t>
      </w:r>
      <w:r>
        <w:t>.</w:t>
      </w:r>
    </w:p>
    <w:p w14:paraId="1F000000">
      <w:pPr>
        <w:widowControl w:val="0"/>
        <w:ind w:firstLine="566" w:left="142" w:right="-1"/>
        <w:jc w:val="both"/>
      </w:pPr>
      <w:r>
        <w:t xml:space="preserve">4. </w:t>
      </w:r>
      <w:r>
        <w:t xml:space="preserve">Решение об увольнении (освобождении от должности) в связи </w:t>
      </w:r>
      <w:r>
        <w:t xml:space="preserve">                     </w:t>
      </w:r>
      <w:r>
        <w:t xml:space="preserve">с утратой доверия </w:t>
      </w:r>
      <w:r>
        <w:t xml:space="preserve">и решение о досрочном прекращении полномочий </w:t>
      </w:r>
      <w:r>
        <w:t>принима</w:t>
      </w:r>
      <w:r>
        <w:t>ю</w:t>
      </w:r>
      <w:r>
        <w:t>тся</w:t>
      </w:r>
      <w:r>
        <w:t xml:space="preserve"> </w:t>
      </w:r>
      <w:r>
        <w:t xml:space="preserve">Советом муниципального образования Туапсинский </w:t>
      </w:r>
      <w:r>
        <w:t>муниципальный округ Краснодарского края</w:t>
      </w:r>
      <w:r>
        <w:t xml:space="preserve"> большинством голосов </w:t>
      </w:r>
      <w:r>
        <w:t xml:space="preserve">                        </w:t>
      </w:r>
      <w:r>
        <w:t xml:space="preserve">от установленной численности депутатов  Совета муниципального образования Туапсинский </w:t>
      </w:r>
      <w:r>
        <w:t>муниципальный округ Краснодарского края</w:t>
      </w:r>
      <w:r>
        <w:t xml:space="preserve"> на основании результатов проверки, проведенной </w:t>
      </w:r>
      <w:r>
        <w:t>в соответствии с законодательством Российской Федерации и Краснодарского края</w:t>
      </w:r>
      <w:r>
        <w:t>.</w:t>
      </w:r>
    </w:p>
    <w:p w14:paraId="20000000">
      <w:pPr>
        <w:widowControl w:val="0"/>
        <w:ind w:firstLine="566" w:left="142" w:right="-1"/>
        <w:jc w:val="both"/>
      </w:pPr>
      <w:r>
        <w:t xml:space="preserve">В случае  если информация </w:t>
      </w:r>
      <w:r>
        <w:t>п</w:t>
      </w:r>
      <w:r>
        <w:t>о</w:t>
      </w:r>
      <w:r>
        <w:t xml:space="preserve"> вопросу соблюдения запретов, ограничений и обязанностей лицами,</w:t>
      </w:r>
      <w:r>
        <w:t xml:space="preserve"> замещающи</w:t>
      </w:r>
      <w:r>
        <w:t>ми</w:t>
      </w:r>
      <w:r>
        <w:t xml:space="preserve"> муниципальные должности, </w:t>
      </w:r>
      <w:r>
        <w:t>рассматривалась комиссией, созданной в соответствующем органе</w:t>
      </w:r>
      <w:r>
        <w:t xml:space="preserve"> (далее – Комиссии)</w:t>
      </w:r>
      <w:r>
        <w:t>, в котором лицо замещает муниципальную должность,</w:t>
      </w:r>
      <w:r>
        <w:t xml:space="preserve"> то при принятии решения рассматриваются </w:t>
      </w:r>
      <w:r>
        <w:t xml:space="preserve">также </w:t>
      </w:r>
      <w:r>
        <w:t xml:space="preserve">рекомендации указанной </w:t>
      </w:r>
      <w:r>
        <w:t>К</w:t>
      </w:r>
      <w:r>
        <w:t>омиссии.</w:t>
      </w:r>
    </w:p>
    <w:p w14:paraId="21000000">
      <w:pPr>
        <w:widowControl w:val="0"/>
        <w:ind w:firstLine="566" w:left="142" w:right="-1"/>
        <w:jc w:val="both"/>
      </w:pPr>
      <w:r>
        <w:t>5. Вопрос об увольнении (освобождении от должности) в связи с утратой</w:t>
      </w:r>
      <w:r>
        <w:t xml:space="preserve"> доверия </w:t>
      </w:r>
      <w:r>
        <w:t xml:space="preserve">или досрочном прекращении полномочий </w:t>
      </w:r>
      <w:r>
        <w:t xml:space="preserve">должен быть рассмотрен и соответствующее решение принято не позднее </w:t>
      </w:r>
      <w:r>
        <w:t>30 дней</w:t>
      </w:r>
      <w:r>
        <w:t xml:space="preserve"> со дня поступления информации о </w:t>
      </w:r>
      <w:r>
        <w:t xml:space="preserve">несоблюдении </w:t>
      </w:r>
      <w:r>
        <w:t xml:space="preserve">лицом, замещающим </w:t>
      </w:r>
      <w:r>
        <w:t>муниципальную</w:t>
      </w:r>
      <w:r>
        <w:t xml:space="preserve"> должность, </w:t>
      </w:r>
      <w:r>
        <w:t>ограничений и обязанностей,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причинам, не позволяющим проведение проверки и рассмотрение ее материалов Комиссией</w:t>
      </w:r>
      <w:r>
        <w:t xml:space="preserve">. </w:t>
      </w:r>
    </w:p>
    <w:p w14:paraId="22000000">
      <w:pPr>
        <w:widowControl w:val="0"/>
        <w:ind w:firstLine="566" w:left="142" w:right="-1"/>
        <w:jc w:val="both"/>
      </w:pPr>
      <w:r>
        <w:t xml:space="preserve">6. До принятия решения об увольнении (освобождении от должности) в связи с утратой доверия </w:t>
      </w:r>
      <w:r>
        <w:t xml:space="preserve">или  досрочном прекращении полномочий </w:t>
      </w:r>
      <w:r>
        <w:t xml:space="preserve">у лица, замещающего муниципальную должность, </w:t>
      </w:r>
      <w:r>
        <w:t>берется</w:t>
      </w:r>
      <w:r>
        <w:t xml:space="preserve"> письменное объяснение.</w:t>
      </w:r>
      <w:r>
        <w:t xml:space="preserve"> Если по истечении трех рабочих дней такое объяснений не представлено лицом, замещающим муниципальную должность, составляется </w:t>
      </w:r>
      <w:r>
        <w:t>соответствующий акт.</w:t>
      </w:r>
    </w:p>
    <w:p w14:paraId="23000000">
      <w:pPr>
        <w:widowControl w:val="0"/>
        <w:ind w:firstLine="566" w:left="142" w:right="-1"/>
        <w:jc w:val="both"/>
      </w:pPr>
      <w:r>
        <w:t xml:space="preserve">Непредставление лицом, замещающим муниципальную должность, объяснения не является препятствием для принятия решения об увольнении </w:t>
      </w:r>
      <w:r>
        <w:t xml:space="preserve"> </w:t>
      </w:r>
      <w:r>
        <w:t>(освобождении от должности)</w:t>
      </w:r>
      <w:r>
        <w:t xml:space="preserve"> и досрочном прекращении полномочий</w:t>
      </w:r>
      <w:r>
        <w:t xml:space="preserve"> в связи с утратой доверия.</w:t>
      </w:r>
    </w:p>
    <w:p w14:paraId="24000000">
      <w:pPr>
        <w:widowControl w:val="0"/>
        <w:ind w:firstLine="566" w:left="142" w:right="-1"/>
        <w:jc w:val="both"/>
      </w:pPr>
      <w:r>
        <w:t xml:space="preserve">7. </w:t>
      </w:r>
      <w:r>
        <w:t xml:space="preserve">При рассмотрении вопроса об увольнении (освобождении от должности) в связи с утратой доверия </w:t>
      </w:r>
      <w:r>
        <w:t xml:space="preserve">или досрочном прекращении полномочий </w:t>
      </w:r>
      <w:r>
        <w:t>учитываются характер совершенного лицом, замещающим муниципальную должность,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r>
        <w:t xml:space="preserve"> лицом, замещающим муниципальную должность, своих должностных обязанностей.</w:t>
      </w:r>
    </w:p>
    <w:p w14:paraId="25000000">
      <w:pPr>
        <w:widowControl w:val="0"/>
        <w:ind w:firstLine="566" w:left="142" w:right="-1"/>
        <w:jc w:val="both"/>
      </w:pPr>
      <w:r>
        <w:t xml:space="preserve">8. В решении об увольнении (освобождении от должности) в связи с утратой доверия </w:t>
      </w:r>
      <w:r>
        <w:t xml:space="preserve">лица, замещающего муниципальную должность, </w:t>
      </w:r>
      <w:r>
        <w:t xml:space="preserve">указываются основания, предусмотренные статьей 13.1 Федерального закона </w:t>
      </w:r>
      <w:r>
        <w:t xml:space="preserve">                            </w:t>
      </w:r>
      <w:r>
        <w:t>от 25</w:t>
      </w:r>
      <w:r>
        <w:t xml:space="preserve"> декабря </w:t>
      </w:r>
      <w:r>
        <w:t>2008 г</w:t>
      </w:r>
      <w:r>
        <w:t>.</w:t>
      </w:r>
      <w:r>
        <w:t xml:space="preserve"> № 273-ФЗ «О противодействии коррупции», существо совершенного правонарушения, положения нормативных правовых актов, которые были им нарушены</w:t>
      </w:r>
      <w:r>
        <w:t>.</w:t>
      </w:r>
      <w:bookmarkStart w:id="1" w:name="_GoBack"/>
      <w:bookmarkEnd w:id="1"/>
    </w:p>
    <w:p w14:paraId="26000000">
      <w:pPr>
        <w:widowControl w:val="0"/>
        <w:ind w:firstLine="566" w:left="142" w:right="-1"/>
        <w:jc w:val="both"/>
      </w:pPr>
      <w:r>
        <w:t>9. Копия решения об увольнении (освобождении от должности) в связи с утратой доверия лица, замещающего муниципальную должность, вручается ему под роспись в течение пяти рабочих дней со дня принятия соответствующего решения,  либо в этот же срок направляется ему заказным письмом с уведомлением.</w:t>
      </w:r>
    </w:p>
    <w:p w14:paraId="27000000">
      <w:pPr>
        <w:widowControl w:val="0"/>
        <w:ind w:firstLine="566" w:left="142" w:right="-1"/>
        <w:jc w:val="both"/>
      </w:pPr>
      <w:r>
        <w:t>10. 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</w:t>
      </w:r>
    </w:p>
    <w:p w14:paraId="28000000">
      <w:pPr>
        <w:pStyle w:val="Style_2"/>
        <w:tabs>
          <w:tab w:leader="none" w:pos="0" w:val="left"/>
        </w:tabs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29000000">
      <w:pPr>
        <w:pStyle w:val="Style_2"/>
        <w:tabs>
          <w:tab w:leader="none" w:pos="0" w:val="left"/>
        </w:tabs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2A000000">
      <w:pPr>
        <w:pStyle w:val="Style_2"/>
        <w:tabs>
          <w:tab w:leader="none" w:pos="0" w:val="left"/>
        </w:tabs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2B000000">
      <w:pPr>
        <w:tabs>
          <w:tab w:leader="none" w:pos="0" w:val="left"/>
        </w:tabs>
        <w:ind/>
        <w:jc w:val="both"/>
      </w:pPr>
      <w:r>
        <w:t xml:space="preserve">Председатель </w:t>
      </w:r>
    </w:p>
    <w:p w14:paraId="2C000000">
      <w:pPr>
        <w:tabs>
          <w:tab w:leader="none" w:pos="0" w:val="left"/>
        </w:tabs>
        <w:ind/>
        <w:jc w:val="both"/>
      </w:pPr>
      <w:r>
        <w:t xml:space="preserve">Контрольно-счётной палаты </w:t>
      </w:r>
    </w:p>
    <w:p w14:paraId="2D000000">
      <w:pPr>
        <w:tabs>
          <w:tab w:leader="none" w:pos="0" w:val="left"/>
        </w:tabs>
        <w:ind/>
        <w:jc w:val="both"/>
      </w:pPr>
      <w:r>
        <w:t xml:space="preserve">муниципального образования </w:t>
      </w:r>
    </w:p>
    <w:p w14:paraId="2E000000">
      <w:pPr>
        <w:tabs>
          <w:tab w:leader="none" w:pos="0" w:val="left"/>
        </w:tabs>
        <w:ind/>
        <w:jc w:val="both"/>
      </w:pPr>
      <w:r>
        <w:t>Туапсинский муниципальный округ</w:t>
      </w:r>
    </w:p>
    <w:p w14:paraId="2F000000">
      <w:pPr>
        <w:tabs>
          <w:tab w:leader="none" w:pos="0" w:val="left"/>
        </w:tabs>
        <w:ind/>
        <w:jc w:val="both"/>
      </w:pPr>
      <w:r>
        <w:t xml:space="preserve">Краснодарского края                        </w:t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t xml:space="preserve">      </w:t>
      </w:r>
      <w:r>
        <w:t>А.В. Трегубова</w:t>
      </w:r>
    </w:p>
    <w:p w14:paraId="3000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b w:val="0"/>
          <w:sz w:val="28"/>
        </w:rPr>
      </w:pPr>
    </w:p>
    <w:p w14:paraId="31000000">
      <w:pPr>
        <w:pStyle w:val="Style_2"/>
        <w:tabs>
          <w:tab w:leader="none" w:pos="0" w:val="left"/>
        </w:tabs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32000000">
      <w:pPr>
        <w:pStyle w:val="Style_2"/>
        <w:tabs>
          <w:tab w:leader="none" w:pos="0" w:val="left"/>
        </w:tabs>
        <w:ind w:firstLine="709" w:left="0"/>
        <w:jc w:val="both"/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2026-06-26T12:41:41Z</dcterms:modified>
</cp:coreProperties>
</file>