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[А00-00000/2025]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ООО «[наименование кредитора]»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 арбитражного управляющего]</w:t>
      </w:r>
    </w:p>
    <w:p>
      <w:pPr>
        <w:spacing w:after="0"/>
        <w:jc w:val="right"/>
      </w:pPr>
      <w:r>
        <w:t xml:space="preserve">ИНН [ИНН], адрес для корреспонденции: [адрес]</w:t>
      </w:r>
    </w:p>
    <w:p>
      <w:pPr>
        <w:spacing w:after="0"/>
        <w:jc w:val="right"/>
      </w:pPr>
      <w:r>
        <w:t xml:space="preserve">член [наименование СРО арбитражных управляющих]</w:t>
      </w:r>
    </w:p>
    <w:p>
      <w:pPr>
        <w:spacing w:after="0"/>
        <w:jc w:val="right"/>
      </w:pPr>
      <w:r>
        <w:t xml:space="preserve">адрес СРО: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бездействие конкурсного управляющего и ходатайство о его отстранении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[А00-00000/2025] ООО «[наименование должника]» (далее – Должник) признано несостоятельным (банкротом), открыто конкурсное производство. Конкурсным управляющим утверждён [ФИО] (далее – Управляющий).</w:t>
      </w:r>
    </w:p>
    <w:p>
      <w:pPr>
        <w:spacing w:after="120" w:line="276"/>
        <w:ind w:firstLine="709"/>
        <w:jc w:val="both"/>
      </w:pPr>
      <w:r>
        <w:t xml:space="preserve">Определением суда от [дата] требование ООО «[наименование кредитора]» (далее – Заявитель) в размере [сумма] руб. включено в третью очередь реестра требований кредиторов Должника. Заявитель является конкурсным кредитором и лицом, участвующим в деле о банкротстве (ст. 34 Федерального закона от 26.10.2002 № 127-ФЗ «О несостоятельности (банкротстве)», далее – Закон о банкротстве). Доля требования Заявителя составляет [7,5] % от общего размера требований, включённых в реестр, поэтому самостоятельно оспорить сделку Должника по п. 2 ст. 61.9 Закона о банкротстве Заявитель не вправе.</w:t>
      </w:r>
    </w:p>
    <w:p>
      <w:pPr>
        <w:spacing w:after="160" w:before="200"/>
        <w:jc w:val="center"/>
      </w:pPr>
      <w:r>
        <w:rPr>
          <w:b/>
          <w:bCs/>
        </w:rPr>
        <w:t xml:space="preserve">1. Управляющий не оспаривает сделку по выводу имущества Должника</w:t>
      </w:r>
    </w:p>
    <w:p>
      <w:pPr>
        <w:spacing w:after="120" w:line="276"/>
        <w:ind w:firstLine="709"/>
        <w:jc w:val="both"/>
      </w:pPr>
      <w:r>
        <w:t xml:space="preserve">[Дата] Должник заключил с ООО «[наименование покупателя]» договор купли-продажи № [номер], по которому передал [описание имущества, например: нежилое здание площадью 820 кв. м, кадастровый № 00:00:0000000:000] по цене [сумма] руб. Право собственности покупателя зарегистрировано [дата].</w:t>
      </w:r>
    </w:p>
    <w:p>
      <w:pPr>
        <w:spacing w:after="120" w:line="276"/>
        <w:ind w:firstLine="709"/>
        <w:jc w:val="both"/>
      </w:pPr>
      <w:r>
        <w:t xml:space="preserve">Сделка отвечает признакам недействительности, предусмотренным [п. 1 / п. 2] ст. 61.2 Закона о банкротстве:</w:t>
      </w:r>
    </w:p>
    <w:p>
      <w:pPr>
        <w:spacing w:after="120" w:line="276"/>
        <w:ind w:left="360" w:hanging="360"/>
        <w:jc w:val="both"/>
      </w:pPr>
      <w:r>
        <w:t xml:space="preserve">1. Сделка совершена [дата], то есть в течение [одного года / трёх лет] до принятия заявления о признании Должника банкротом (определение суда от [дата]).</w:t>
      </w:r>
    </w:p>
    <w:p>
      <w:pPr>
        <w:spacing w:after="120" w:line="276"/>
        <w:ind w:left="360" w:hanging="360"/>
        <w:jc w:val="both"/>
      </w:pPr>
      <w:r>
        <w:t xml:space="preserve">2. Цена сделки в [три] раза ниже рыночной: по [отчёту об оценке № ___ от ___ / данным кадастровой стоимости / объявлениям о продаже аналогов] стоимость имущества на дату сделки составляла [сумма] руб.</w:t>
      </w:r>
    </w:p>
    <w:p>
      <w:pPr>
        <w:spacing w:after="120" w:line="276"/>
        <w:ind w:left="360" w:hanging="360"/>
        <w:jc w:val="both"/>
      </w:pPr>
      <w:r>
        <w:t xml:space="preserve">3. Покупатель аффилирован с Должником: [например: единственным участником покупателя является супруга бывшего генерального директора Должника – сведения ЕГРЮЛ на дату сделки].</w:t>
      </w:r>
    </w:p>
    <w:p>
      <w:pPr>
        <w:spacing w:after="120" w:line="276"/>
        <w:ind w:left="360" w:hanging="360"/>
        <w:jc w:val="both"/>
      </w:pPr>
      <w:r>
        <w:t xml:space="preserve">4. Оплата по договору на расчётный счёт Должника не поступала [либо поступила и в тот же день перечислена аффилированному лицу], что следует из выписки по счёту, представленной Управляющим в материалы дела.</w:t>
      </w:r>
    </w:p>
    <w:p>
      <w:pPr>
        <w:spacing w:after="120" w:line="276"/>
        <w:ind w:left="360" w:hanging="360"/>
        <w:jc w:val="both"/>
      </w:pPr>
      <w:r>
        <w:t xml:space="preserve">5. На дату сделки Должник имел неисполненные обязательства перед [кредитор(ы)] на сумму [сумма] руб., впоследствии включённые в реестр.</w:t>
      </w:r>
    </w:p>
    <w:p>
      <w:pPr>
        <w:spacing w:after="120" w:line="276"/>
        <w:ind w:firstLine="709"/>
        <w:jc w:val="both"/>
      </w:pPr>
      <w:r>
        <w:t xml:space="preserve">[Дата] Заявитель направил Управляющему предложение об оспаривании сделки с изложением оснований недействительности и приложением подтверждающих документов (почтовый идентификатор [номер], получено [дата]). Ответ на предложение не поступил [либо: в ответе от (дата) Управляющий указал, что «оснований для оспаривания не усматривает», без анализа доводов и документов]. Заявление об оспаривании сделки в суд не подано до настоящего времени.</w:t>
      </w:r>
    </w:p>
    <w:p>
      <w:pPr>
        <w:spacing w:after="120" w:line="276"/>
        <w:ind w:firstLine="709"/>
        <w:jc w:val="both"/>
      </w:pPr>
      <w:r>
        <w:t xml:space="preserve">Согласно п. 3 ст. 129 Закона о банкротстве конкурсный управляющий вправе подавать в арбитражный суд заявления о признании недействительными сделок должника, а п. 2 ст. 129 обязывает его принимать меры по поиску, выявлению и возврату имущества должника, находящегося у третьих лиц. При этом в силу п. 4 ст. 20.3 Закона он обязан действовать добросовестно и разумно в интересах должника, кредиторов и общества.</w:t>
      </w:r>
    </w:p>
    <w:p>
      <w:pPr>
        <w:spacing w:after="120" w:line="276"/>
        <w:ind w:firstLine="709"/>
        <w:jc w:val="both"/>
      </w:pPr>
      <w:r>
        <w:t xml:space="preserve">Как разъяснено в п. 31 постановления Пленума ВАС РФ от 23.12.2010 № 63, конкурсный кредитор вправе предложить управляющему оспорить конкретную сделку, а при отказе или бездействии – обжаловать их в порядке ст. 60 Закона о банкротстве. Управляющий обязан проанализировать доводы и доказательства кредитора и оценить реальную возможность восстановления прав должника. Суд при этом проверяет, проявил ли управляющий заботливость и осмотрительность, ожидаемые от обычного управляющего в аналогичных обстоятельствах, и вправе предоставить кредитору право самостоятельно обратиться с заявлением об оспаривании сделки.</w:t>
      </w:r>
    </w:p>
    <w:p>
      <w:pPr>
        <w:spacing w:after="120" w:line="276"/>
        <w:ind w:firstLine="709"/>
        <w:jc w:val="both"/>
      </w:pPr>
      <w:r>
        <w:t xml:space="preserve">Бездействие Управляющего создаёт реальную угрозу утраты возможности пополнить конкурсную массу: годичный срок исковой давности для оспаривания (п. 2 ст. 181 ГК РФ, п. 32 постановления Пленума ВАС РФ № 63) в силу п. 1 ст. 61.9 Закона о банкротстве исчисляется с момента, когда Управляющий узнал или должен был узнать о сделке, а сведения о ней были у него не позднее [дата получения выписки ЕГРН / документов от бывшего руководителя]. Кроме того, покупатель может произвести отчуждение имущества третьим лицам. Утрата возможности увеличения конкурсной массы, в том числе в результате неоспаривания сделки, признаётся убытками (п. 11 Обзора, доведённого информационным письмом Президиума ВАС РФ от 22.05.2012 № 150).</w:t>
      </w:r>
    </w:p>
    <w:p>
      <w:pPr>
        <w:spacing w:after="160" w:before="200"/>
        <w:jc w:val="center"/>
      </w:pPr>
      <w:r>
        <w:rPr>
          <w:b/>
          <w:bCs/>
        </w:rPr>
        <w:t xml:space="preserve">2. Управляющий не представляет отчёт и не проводит собрания кредиторов</w:t>
      </w:r>
    </w:p>
    <w:p>
      <w:pPr>
        <w:spacing w:after="120" w:line="276"/>
        <w:ind w:firstLine="709"/>
        <w:jc w:val="both"/>
      </w:pPr>
      <w:r>
        <w:t xml:space="preserve">Согласно п. 1 ст. 143 Закона о банкротстве конкурсный управляющий представляет собранию кредиторов отчёт о своей деятельности не реже одного раза в три месяца, если собранием не установлено иное. Собранием кредиторов от [дата] периодичность [не устанавливалась / установлена: один раз в (срок)].</w:t>
      </w:r>
    </w:p>
    <w:p>
      <w:pPr>
        <w:spacing w:after="120" w:line="276"/>
        <w:ind w:firstLine="709"/>
        <w:jc w:val="both"/>
      </w:pPr>
      <w:r>
        <w:t xml:space="preserve">Последнее собрание кредиторов проведено [дата], что подтверждается сообщением в ЕФРСБ № [номер]. С этой даты прошло более [семи] месяцев, однако собрания не созывались, отчёт по п. 2 ст. 143 Закона кредиторам не представлялся, сообщения о проведении собраний в ЕФРСБ не включались (п. 4 ст. 13 Закона). [Дата] Заявитель письменно просил Управляющего провести собрание и представить отчёт; ответа не последовало.</w:t>
      </w:r>
    </w:p>
    <w:p>
      <w:pPr>
        <w:spacing w:after="120" w:line="276"/>
        <w:ind w:firstLine="709"/>
        <w:jc w:val="both"/>
      </w:pPr>
      <w:r>
        <w:t xml:space="preserve">В результате кредиторы лишены сведений о формировании конкурсной массы, о поступлениях на счёт Должника, о текущих расходах и о мерах по оспариванию сделок, а значит – возможности контролировать ход процедуры и принимать решения, отнесённые к их компетенции.</w:t>
      </w:r>
    </w:p>
    <w:p>
      <w:pPr>
        <w:spacing w:after="160" w:before="200"/>
        <w:jc w:val="center"/>
      </w:pPr>
      <w:r>
        <w:rPr>
          <w:b/>
          <w:bCs/>
        </w:rPr>
        <w:t xml:space="preserve">3. Нарушение прав Заявителя и основания для отстранения</w:t>
      </w:r>
    </w:p>
    <w:p>
      <w:pPr>
        <w:spacing w:after="120" w:line="276"/>
        <w:ind w:firstLine="709"/>
        <w:jc w:val="both"/>
      </w:pPr>
      <w:r>
        <w:t xml:space="preserve">Бездействие Управляющего нарушает права Заявителя как конкурсного кредитора на получение информации о ходе процедуры, на участие в собраниях и на максимально возможное удовлетворение требования за счёт конкурсной массы. Неоспаривание сделки по выводу ликвидного актива стоимостью [сумма] руб. при общем размере реестра [сумма] руб. напрямую уменьшает процент погашения требования Заявителя.</w:t>
      </w:r>
    </w:p>
    <w:p>
      <w:pPr>
        <w:spacing w:after="120" w:line="276"/>
        <w:ind w:firstLine="709"/>
        <w:jc w:val="both"/>
      </w:pPr>
      <w:r>
        <w:t xml:space="preserve">Нарушения носят существенный и системный характер: они касаются ключевых обязанностей конкурсного управляющего (формирование конкурсной массы и подотчётность кредиторам), продолжаются более [срок] и не устранены после обращений Заявителя. Это свидетельствует о неспособности Управляющего к надлежащему ведению конкурсного производства и вызывает обоснованные сомнения в том, что он будет вести его добросовестно (п. 10 Обзора, доведённого информационным письмом Президиума ВАС РФ № 150).</w:t>
      </w:r>
    </w:p>
    <w:p>
      <w:pPr>
        <w:spacing w:after="120" w:line="276"/>
        <w:ind w:firstLine="709"/>
        <w:jc w:val="both"/>
      </w:pPr>
      <w:r>
        <w:t xml:space="preserve">В силу абзаца третьего п. 1 ст. 145 и п. 1 ст. 20.4 Закона о банкротстве конкурсный управляющий может быть отстранён судом по жалобе лица, участвующего в деле, если такая жалоба удовлетворена и неисполнение или ненадлежащее исполнение обязанностей нарушило права или законные интересы заявителя, а также повлекло или могло повлечь убытки должника либо его кредиторов. Для отстранения достаточно доказать возможность причинения убытков, их точный размер устанавливать не требуется (п. 8 Обзора № 150).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20.3, 20.4, 60, 129, 143, 145 Закона о банкротстве, ст.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бездействие конкурсного управляющего ООО «[наименование должника]» [ФИО], выразившееся в непринятии мер к оспариванию договора купли-продажи от [дата] № [номер], заключённого между Должником и ООО «[наименование покупателя]».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бездействие конкурсного управляющего [ФИО], выразившееся в непредставлении собранию кредиторов отчёта о своей деятельности и непроведении собраний кредиторов в период с [дата] по дату подачи жалобы в нарушение п. 1 ст. 143 Закона о банкротстве.</w:t>
      </w:r>
    </w:p>
    <w:p>
      <w:pPr>
        <w:spacing w:after="120" w:line="276"/>
        <w:ind w:left="360" w:hanging="360"/>
        <w:jc w:val="both"/>
      </w:pPr>
      <w:r>
        <w:t xml:space="preserve">3. Отстранить [ФИО] от исполнения обязанностей конкурсного управляющего ООО «[наименование должника]».</w:t>
      </w:r>
    </w:p>
    <w:p>
      <w:pPr>
        <w:spacing w:after="120" w:line="276"/>
        <w:ind w:left="360" w:hanging="360"/>
        <w:jc w:val="both"/>
      </w:pPr>
      <w:r>
        <w:t xml:space="preserve">4. Предоставить ООО «[наименование кредитора]» право самостоятельно обратиться в арбитражный суд с заявлением о признании недействительным договора купли-продажи от [дата] № [номер] и применении последствий его недействительности.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Предложение Заявителя об оспаривании сделки от [дата] с доказательствами направления и получения Управляющим.</w:t>
      </w:r>
    </w:p>
    <w:p>
      <w:pPr>
        <w:spacing w:after="120" w:line="276"/>
        <w:ind w:left="360" w:hanging="360"/>
        <w:jc w:val="both"/>
      </w:pPr>
      <w:r>
        <w:t xml:space="preserve">2. Ответ Управляющего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от [дата] № [номер] и выписка из ЕГРН о переходе права.</w:t>
      </w:r>
    </w:p>
    <w:p>
      <w:pPr>
        <w:spacing w:after="120" w:line="276"/>
        <w:ind w:left="360" w:hanging="360"/>
        <w:jc w:val="both"/>
      </w:pPr>
      <w:r>
        <w:t xml:space="preserve">4. Документы о рыночной стоимости имущества на дату сделки.</w:t>
      </w:r>
    </w:p>
    <w:p>
      <w:pPr>
        <w:spacing w:after="120" w:line="276"/>
        <w:ind w:left="360" w:hanging="360"/>
        <w:jc w:val="both"/>
      </w:pPr>
      <w:r>
        <w:t xml:space="preserve">5. Выписки из ЕГРЮЛ в отношении покупателя и Должника, подтверждающие аффилированность.</w:t>
      </w:r>
    </w:p>
    <w:p>
      <w:pPr>
        <w:spacing w:after="120" w:line="276"/>
        <w:ind w:left="360" w:hanging="360"/>
        <w:jc w:val="both"/>
      </w:pPr>
      <w:r>
        <w:t xml:space="preserve">6. Распечатки сообщений из ЕФРСБ о последнем собрании кредиторов и отсутствии последующих сообщений.</w:t>
      </w:r>
    </w:p>
    <w:p>
      <w:pPr>
        <w:spacing w:after="120" w:line="276"/>
        <w:ind w:left="360" w:hanging="360"/>
        <w:jc w:val="both"/>
      </w:pPr>
      <w:r>
        <w:t xml:space="preserve">7. Письмо Заявителя Управляющему от [дата] с просьбой провести собрание и представить отчёт, доказательства отправки.</w:t>
      </w:r>
    </w:p>
    <w:p>
      <w:pPr>
        <w:spacing w:after="120" w:line="276"/>
        <w:ind w:left="360" w:hanging="360"/>
        <w:jc w:val="both"/>
      </w:pPr>
      <w:r>
        <w:t xml:space="preserve">8. Копия определения о включении требования Заявителя в реестр от [дата].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жалобы конкурсному управляющему и в [наименование СРО].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[Должность, ООО «наименование кредитора»] / [представитель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2026-10-16T01:01:52.930Z</dcterms:created>
  <dcterms:modified xsi:type="dcterms:W3CDTF">2026-10-16T01:01:52.930Z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