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[А00-00000/2024]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(конкурсный кредитор):</w:t>
      </w:r>
      <w:r>
        <w:t xml:space="preserve"> ООО «[наименование кредитора]»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(конкурсный управляющий):</w:t>
      </w:r>
      <w:r>
        <w:t xml:space="preserve"> [ФИО арбитражного управляющего]</w:t>
      </w:r>
    </w:p>
    <w:p>
      <w:pPr>
        <w:spacing w:after="0"/>
        <w:jc w:val="right"/>
      </w:pPr>
      <w:r>
        <w:t xml:space="preserve">ИНН [ИНН],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 должника]»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</w:p>
    <w:p>
      <w:pPr>
        <w:spacing w:after="0"/>
        <w:jc w:val="right"/>
      </w:pPr>
      <w:r>
        <w:t xml:space="preserve">[наименование СРО арбитражных управляющих], адрес: [адрес]</w:t>
      </w:r>
    </w:p>
    <w:p>
      <w:pPr>
        <w:spacing w:after="0"/>
        <w:jc w:val="right"/>
      </w:pPr>
      <w:r>
        <w:t xml:space="preserve">[наименование страховой организации] (основной договор страхования), адрес: [адрес]</w:t>
      </w:r>
    </w:p>
    <w:p>
      <w:pPr>
        <w:spacing w:after="0"/>
        <w:jc w:val="right"/>
      </w:pPr>
      <w:r>
        <w:t xml:space="preserve">[наименование страховой организации] (дополнительный договор страхования), адрес: [адрес]</w:t>
      </w:r>
    </w:p>
    <w:p>
      <w:pPr>
        <w:spacing w:after="0"/>
        <w:jc w:val="right"/>
      </w:pPr>
      <w:r>
        <w:t xml:space="preserve">ООО «[наименование покупателя]»,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требования: [16 200 000]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[193 500]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 конкурсного управляющего убытков, причинённых продажей имущества должника по заниженной цене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по делу № [А00-00000/2024] ООО «[наименование должника]» (далее – Должник) признано банкротом, открыто конкурсное производство, конкурсным управляющим утверждён [ФИО] (далее – Управляющий), член [наименование СРО].</w:t>
      </w:r>
    </w:p>
    <w:p>
      <w:pPr>
        <w:spacing w:after="120" w:line="276"/>
        <w:ind w:firstLine="709"/>
        <w:jc w:val="both"/>
      </w:pPr>
      <w:r>
        <w:t xml:space="preserve">Определением суда от [дата] требование ООО «[наименование кредитора]» (далее – Заявитель) в размере [сумма] руб. включено в третью очередь реестра. Доля Заявителя составляет [9,2] % от общего размера требований, включённых в реестр. Заявитель участвует в деле о банкротстве (ст. 34 Федерального закона от 26.10.2002 № 127-ФЗ «О несостоятельности (банкротстве)», далее – Закон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продажи имущества</w:t>
      </w:r>
    </w:p>
    <w:p>
      <w:pPr>
        <w:spacing w:after="120" w:line="276"/>
        <w:ind w:left="360" w:hanging="360"/>
        <w:jc w:val="both"/>
      </w:pPr>
      <w:r>
        <w:t xml:space="preserve">1. [дата] Управляющий опубликовал в ЕФРСБ сообщение № [номер] о результатах инвентаризации. В конкурсную массу включено [24] единицы производственного оборудования: [металлорежущие станки, кузнечно-прессовое оборудование, вилочные погрузчики, компрессорная установка], находящиеся в арендованных цехах по адресу: [адрес].</w:t>
      </w:r>
    </w:p>
    <w:p>
      <w:pPr>
        <w:spacing w:after="120" w:line="276"/>
        <w:ind w:left="360" w:hanging="360"/>
        <w:jc w:val="both"/>
      </w:pPr>
      <w:r>
        <w:t xml:space="preserve">2. [дата], то есть в течение 10 рабочих дней с даты публикации, Заявитель направил Управляющему требование о привлечении оценщика (п. 1 ст. 139 Закона о банкротстве). Требование получено [дата], что подтверждается [почтовым уведомлением / отметкой о вручении]. Оценка не проведена, отчёт об оценке в ЕФРСБ не опубликован.</w:t>
      </w:r>
    </w:p>
    <w:p>
      <w:pPr>
        <w:spacing w:after="120" w:line="276"/>
        <w:ind w:left="360" w:hanging="360"/>
        <w:jc w:val="both"/>
      </w:pPr>
      <w:r>
        <w:t xml:space="preserve">3. [дата] Управляющий представил собранию кредиторов положение о порядке продажи, по которому всё оборудование выставлялось </w:t>
      </w:r>
      <w:r>
        <w:rPr>
          <w:b/>
          <w:bCs/>
        </w:rPr>
        <w:t xml:space="preserve">одним лотом</w:t>
      </w:r>
      <w:r>
        <w:t xml:space="preserve"> с начальной ценой [18 400 000] руб., равной его остаточной балансовой стоимости. Положение утверждено собранием [дата] голосами ООО «[наименование мажоритарного кредитора]»; Заявитель голосовал против.</w:t>
      </w:r>
    </w:p>
    <w:p>
      <w:pPr>
        <w:spacing w:after="120" w:line="276"/>
        <w:ind w:left="360" w:hanging="360"/>
        <w:jc w:val="both"/>
      </w:pPr>
      <w:r>
        <w:t xml:space="preserve">4. Первые и повторные торги в форме аукциона (сообщения в ЕФРСБ № [номер], № [номер]) признаны несостоявшимися из-за отсутствия заявок. Управляющий не предложил собранию разделить лот и продолжил продажу посредством публичного предложения (п. 4 ст. 139 Закона о банкротстве).</w:t>
      </w:r>
    </w:p>
    <w:p>
      <w:pPr>
        <w:spacing w:after="120" w:line="276"/>
        <w:ind w:left="360" w:hanging="360"/>
        <w:jc w:val="both"/>
      </w:pPr>
      <w:r>
        <w:t xml:space="preserve">5. Единственную заявку подало ООО «[наименование покупателя]» (далее – Покупатель) на этапе снижения цены до [15 200 000] руб. [дата] Управляющий заключил с Покупателем договор купли-продажи № [номер] по этой цене. Оборудование передано Покупателю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Неправомерность действий Управляющего</w:t>
      </w:r>
    </w:p>
    <w:p>
      <w:pPr>
        <w:spacing w:after="120" w:line="276"/>
        <w:ind w:firstLine="709"/>
        <w:jc w:val="both"/>
      </w:pPr>
      <w:r>
        <w:t xml:space="preserve">Управляющий обязан действовать добросовестно и разумно в интересах должника, кредиторов и общества (п. 4 ст. 20.3 Закона о банкротстве), привлекать оценщика в предусмотренных законом случаях и обеспечивать сохранность имущества (абз. третий и пятый п. 2 ст. 129). Порядок продажи должен обеспечивать реализацию имущества по наиболее высокой цене и привлечение наибольшего числа покупателей (п. 1.1 ст. 139). Управляющий допустил три самостоятельных нарушения.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2.1. Продажа без оценки вопреки требованию кредитора.</w:t>
      </w:r>
      <w:r>
        <w:t xml:space="preserve"> Требование Заявителя, размер которого превышает 2 % реестра, было заявлено в установленный срок. В этом случае Управляющий был обязан обеспечить оценку в течение двух месяцев за счёт имущества должника (п. 1 ст. 139). Вместо этого начальная цена взята из бухгалтерского учёта, где оборудование почти полностью самортизировано.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2.2. Необоснованное объединение имущества в один лот.</w:t>
      </w:r>
      <w:r>
        <w:t xml:space="preserve"> Оборудование разного назначения не образует предприятия, производственная площадка должнику не принадлежит, покупатель не может на базе такого лота сразу вести деятельность. Объединение разнородного имущества в один лот допустимо, только если оно объективно обосновано, а доказать эффективность такого решения должны лица, защищающие результаты продажи (определение СКЭС ВС № 305-ЭС16-13381(4) по делу № А40-174619/2014). Единый лот отсёк покупателей отдельных станков. Два несостоявшихся аукциона должны были побудить Управляющего представить собранию предложение об изменении порядка продажи (п. 2 ст. 139), но он этого не сделал.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2.3. Продажа заинтересованному лицу без раскрытия заинтересованности.</w:t>
      </w:r>
      <w:r>
        <w:t xml:space="preserve"> Единственным участником Покупателя с [дата] является [ФИО], который до [дата] занимал должность [генерального директора Должника] (выписка из ЕГРЮЛ). Заявку Покупателя подавал [ФИО представителя], который в этом же деле представлял интересы Управляющего по доверенности от [дата] (протокол заседания от [дата]). Заявка не содержала сведений о заинтересованности, в сообщении о результатах торгов № [номер] указано на её отсутствие, что нарушает п. 11 и 15 ст. 110 Закона о банкротстве, применяемые в силу п. 3 ст. 139. Через [2] месяца после покупки часть оборудования перепродана ООО «[наименование]» за [сумма] руб. (сведения [источник]).</w:t>
      </w:r>
    </w:p>
    <w:p>
      <w:pPr>
        <w:spacing w:after="120" w:line="276"/>
        <w:ind w:firstLine="709"/>
        <w:jc w:val="both"/>
      </w:pPr>
      <w:r>
        <w:t xml:space="preserve">Утверждение положения собранием не освобождает Управляющего от ответственности: условия продажи предложил он сам, а заинтересованность Покупателя не раскрыл. Согласие кредитора с действиями управляющего не исключает взыскания убытков (п. 21 Обзора судебной практики по вопросам участия арбитражного управляющего в деле о банкротстве, утв. Президиумом ВС РФ 11.10.2023).</w:t>
      </w:r>
    </w:p>
    <w:p>
      <w:pPr>
        <w:spacing w:after="160" w:before="200"/>
        <w:jc w:val="center"/>
      </w:pPr>
      <w:r>
        <w:rPr>
          <w:b/>
          <w:bCs/>
        </w:rPr>
        <w:t xml:space="preserve">3. Размер убытков и причинная связь</w:t>
      </w:r>
    </w:p>
    <w:p>
      <w:pPr>
        <w:spacing w:after="120" w:line="276"/>
        <w:ind w:firstLine="709"/>
        <w:jc w:val="both"/>
      </w:pPr>
      <w:r>
        <w:t xml:space="preserve">Под убытками, причинёнными должнику и кредиторам, понимается любое уменьшение или утрата возможности увеличения конкурсной массы вследствие неправомерных действий управляющего (п. 11 информационного письма Президиума ВАС РФ от 22.05.2012 № 150).</w:t>
      </w:r>
    </w:p>
    <w:p>
      <w:pPr>
        <w:spacing w:after="120" w:line="276"/>
        <w:ind w:firstLine="709"/>
        <w:jc w:val="both"/>
      </w:pPr>
      <w:r>
        <w:t xml:space="preserve">По отчёту ООО «[наименование оценщика]» от [дата] № [номер] рыночная стоимость оборудования на дату продажи составляла [31 400 000] руб. при продаже единым лотом и [33 100 000] руб. при продаже по отдельным лотам. Должник получил [15 200 000] руб. Убытки составляют [31 400 000] – [15 200 000] = </w:t>
      </w:r>
      <w:r>
        <w:rPr>
          <w:b/>
          <w:bCs/>
        </w:rPr>
        <w:t xml:space="preserve">[16 200 000] руб.</w:t>
      </w:r>
    </w:p>
    <w:p>
      <w:pPr>
        <w:spacing w:after="120" w:line="276"/>
        <w:ind w:firstLine="709"/>
        <w:jc w:val="both"/>
      </w:pPr>
      <w:r>
        <w:t xml:space="preserve">Причинная связь подтверждается следующим: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при цене аукционов [18 400 000] руб. заявок не поступило, а при раздельной продаже на оборудование имелся спрос: [ООО «[наименование]» письмом от [дата] сообщило Управляющему о готовности купить станки [модели] за [сумма] руб.];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аналогичное оборудование в регионе в [период] продавалось по ценам, приведённым в разделе [номер] отчёта;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связанный с бывшим руководителем Должника Покупатель купил имущество без конкуренции и вскоре перепродал его часть по рыночной цене.</w:t>
      </w:r>
    </w:p>
    <w:p>
      <w:pPr>
        <w:spacing w:after="120" w:line="276"/>
        <w:ind w:firstLine="709"/>
        <w:jc w:val="both"/>
      </w:pPr>
      <w:r>
        <w:t xml:space="preserve">Деятельность арбитражного управляющего не является предпринимательской, поэтому он отвечает при наличии вины, в том числе неосторожной, а отсутствие вины доказывает сам (ст. 401 ГК РФ; определение СКЭС ВС от 26.08.2026 № 305-ЭС26-3930). Требование об оценке, отсутствие спроса на единый лот и связь Покупателя с бывшим руководителем Должника были очевидны для разумного управляющего.</w:t>
      </w:r>
    </w:p>
    <w:p>
      <w:pPr>
        <w:spacing w:after="120" w:line="276"/>
        <w:ind w:firstLine="709"/>
        <w:jc w:val="both"/>
      </w:pPr>
      <w:r>
        <w:t xml:space="preserve">Поскольку рыночная стоимость оспаривается, Заявитель ходатайствует о назначении судебной оценочной экспертизы (ст. 82 АПК РФ). Денежные средства в размере [сумма] руб. внесены на депозит суда платёжным поручением от [дата]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4. Порядок рассмотрения и участие страховщиков и СРО</w:t>
      </w:r>
    </w:p>
    <w:p>
      <w:pPr>
        <w:spacing w:after="120" w:line="276"/>
        <w:ind w:firstLine="709"/>
        <w:jc w:val="both"/>
      </w:pPr>
      <w:r>
        <w:t xml:space="preserve">Арбитражный управляющий обязан возместить должнику и кредиторам убытки, причинённые неисполнением или ненадлежащим исполнением обязанностей в деле о банкротстве (п. 4 ст. 20.4 Закона о банкротстве). Пока процедура не завершена, такое требование может быть предъявлено кредитором только в рамках дела о банкротстве (п. 53 постановления Пленума ВАС РФ от 22.06.2012 № 35). Убытки взыскиваются в пользу Должника, в конкурсную массу.</w:t>
      </w:r>
    </w:p>
    <w:p>
      <w:pPr>
        <w:spacing w:after="120" w:line="276"/>
        <w:ind w:firstLine="709"/>
        <w:jc w:val="both"/>
      </w:pPr>
      <w:r>
        <w:t xml:space="preserve">Ответственность Управляющего на дату продажи была застрахована: по основному договору с [наименование страховой организации] № [номер] на период с [дата] по [дата] и по дополнительному договору с [наименование страховой организации] № [номер] на период с [дата] по [дата] (ст. 24.1 Закона о банкротстве). Судебный акт о взыскании убытков станет основанием страховой выплаты (п. 5, 7 ст. 24.1), а при её недостаточности — выплаты из компенсационного фонда СРО (ст. 25.1), поэтому страховщики и СРО подлежат привлечению к спору (п. 31 названного Обзора, ст. 51 АПК РФ). Выводы суда о заинтересованности Покупателя могут повлиять на его права, поэтому он также привлекается третьим лицом.</w:t>
      </w:r>
    </w:p>
    <w:p>
      <w:pPr>
        <w:spacing w:after="120" w:line="276"/>
        <w:ind w:firstLine="709"/>
        <w:jc w:val="both"/>
      </w:pPr>
      <w:r>
        <w:t xml:space="preserve">Копии заявления направлены Управляющему, СРО, Управлению Росреестра по [наименование субъекта РФ], страховщикам и Покупателю (п. 38 постановления Пленума ВС РФ от 17.12.2024 № 40).</w:t>
      </w:r>
    </w:p>
    <w:p>
      <w:pPr>
        <w:spacing w:after="120" w:line="276"/>
        <w:ind w:firstLine="709"/>
        <w:jc w:val="both"/>
      </w:pPr>
      <w:r>
        <w:t xml:space="preserve">Государственная пошлина уплачена в размере 50 % от пошлины по имущественному требованию (подп. 1 и 9 п. 1 ст. 333.21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4 ст. 20.3, п. 4 ст. 20.4, ст. 60, 129, 139 Закона о банкротстве, ст. 15, 401 ГК РФ, ст. 51, 82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арбитражного управляющего [ФИО] в пользу ООО «[наименование должника]» убытки в размере [16 200 000] руб.</w:t>
      </w:r>
    </w:p>
    <w:p>
      <w:pPr>
        <w:spacing w:after="120" w:line="276"/>
        <w:ind w:left="360" w:hanging="360"/>
        <w:jc w:val="both"/>
      </w:pPr>
      <w:r>
        <w:t xml:space="preserve">2. Привлечь к участию в обособленном споре в качестве третьих лиц, не заявляющих самостоятельных требований, [наименование СРО], [наименование страховой организации по основному договору], [наименование страховой организации по дополнительному договору] и ООО «[наименование покупателя]».</w:t>
      </w:r>
    </w:p>
    <w:p>
      <w:pPr>
        <w:spacing w:after="120" w:line="276"/>
        <w:ind w:left="360" w:hanging="360"/>
        <w:jc w:val="both"/>
      </w:pPr>
      <w:r>
        <w:t xml:space="preserve">3. Назначить судебную оценочную экспертизу, поручив её проведение [наименование экспертной организации, ФИО эксперта], и поставить вопрос: «Какова рыночная стоимость оборудования, перечисленного в договоре купли-продажи от [дата] № [номер], по состоянию на [дата] при продаже единым лотом и при продаже по отдельным лотам?»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Доказательства направления копий заявления Управляющему, СРО, Управлению Росреестра, страховщикам и Покупателю.</w:t>
      </w:r>
    </w:p>
    <w:p>
      <w:pPr>
        <w:spacing w:after="120" w:line="276"/>
        <w:ind w:left="360" w:hanging="360"/>
        <w:jc w:val="both"/>
      </w:pPr>
      <w:r>
        <w:t xml:space="preserve">3. Сообщения ЕФРСБ № [номера], протокол собрания кредиторов от [дата] и положение о порядке продажи.</w:t>
      </w:r>
    </w:p>
    <w:p>
      <w:pPr>
        <w:spacing w:after="120" w:line="276"/>
        <w:ind w:left="360" w:hanging="360"/>
        <w:jc w:val="both"/>
      </w:pPr>
      <w:r>
        <w:t xml:space="preserve">4. Требование Заявителя о привлечении оценщика и доказательства его получения.</w:t>
      </w:r>
    </w:p>
    <w:p>
      <w:pPr>
        <w:spacing w:after="120" w:line="276"/>
        <w:ind w:left="360" w:hanging="360"/>
        <w:jc w:val="both"/>
      </w:pPr>
      <w:r>
        <w:t xml:space="preserve">5. Договор купли-продажи от [дата] № [номер] и акт приёма-передачи.</w:t>
      </w:r>
    </w:p>
    <w:p>
      <w:pPr>
        <w:spacing w:after="120" w:line="276"/>
        <w:ind w:left="360" w:hanging="360"/>
        <w:jc w:val="both"/>
      </w:pPr>
      <w:r>
        <w:t xml:space="preserve">6. Отчёт об оценке ООО «[наименование оценщика]» от [дата] № [номер].</w:t>
      </w:r>
    </w:p>
    <w:p>
      <w:pPr>
        <w:spacing w:after="120" w:line="276"/>
        <w:ind w:left="360" w:hanging="360"/>
        <w:jc w:val="both"/>
      </w:pPr>
      <w:r>
        <w:t xml:space="preserve">7. Выписки из ЕГРЮЛ и иные доказательства связи Покупателя с бывшим руководителем Должника и Управляющим.</w:t>
      </w:r>
    </w:p>
    <w:p>
      <w:pPr>
        <w:spacing w:after="120" w:line="276"/>
        <w:ind w:left="360" w:hanging="360"/>
        <w:jc w:val="both"/>
      </w:pPr>
      <w:r>
        <w:t xml:space="preserve">8. Письмо ООО «[наименование]» от [дата] о готовности купить оборудование.</w:t>
      </w:r>
    </w:p>
    <w:p>
      <w:pPr>
        <w:spacing w:after="120" w:line="276"/>
        <w:ind w:left="360" w:hanging="360"/>
        <w:jc w:val="both"/>
      </w:pPr>
      <w:r>
        <w:t xml:space="preserve">9. Сведения о договорах страхования ответственности Управляющего.</w:t>
      </w:r>
    </w:p>
    <w:p>
      <w:pPr>
        <w:spacing w:after="120" w:line="276"/>
        <w:ind w:left="360" w:hanging="360"/>
        <w:jc w:val="both"/>
      </w:pPr>
      <w:r>
        <w:t xml:space="preserve">10. Документ о внесении денег на депозит суда и согласие экспертной организации.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кредитора]» по доверенности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2026-10-16T10:08:25.779Z</dcterms:created>
  <dcterms:modified xsi:type="dcterms:W3CDTF">2026-10-16T10:08:25.779Z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