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 о банкротстве]</w:t>
      </w:r>
    </w:p>
    <w:p>
      <w:pPr>
        <w:spacing w:after="0"/>
        <w:jc w:val="right"/>
      </w:pPr>
      <w:r>
        <w:t xml:space="preserve">Судья [ФИО судьи]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 (должник):</w:t>
      </w:r>
      <w:r>
        <w:t xml:space="preserve"> [ФИО должника]</w:t>
      </w:r>
    </w:p>
    <w:p>
      <w:pPr>
        <w:spacing w:after="0"/>
        <w:jc w:val="right"/>
      </w:pPr>
      <w:r>
        <w:t xml:space="preserve">дата рождения: [дата], ИНН [ИНН], СНИЛС [СНИЛС]</w:t>
      </w:r>
    </w:p>
    <w:p>
      <w:pPr>
        <w:spacing w:after="0"/>
        <w:jc w:val="right"/>
      </w:pPr>
      <w:r>
        <w:t xml:space="preserve">адрес: [адрес регистрации]</w:t>
      </w:r>
    </w:p>
    <w:p>
      <w:pPr>
        <w:spacing w:after="0"/>
        <w:jc w:val="right"/>
      </w:pPr>
      <w:r>
        <w:t xml:space="preserve">тел.: [телефон], e-mail: [адрес электронной почты]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Залоговый кредитор:</w:t>
      </w:r>
      <w:r>
        <w:t xml:space="preserve"> [наименование банка]</w:t>
      </w:r>
    </w:p>
    <w:p>
      <w:pPr>
        <w:spacing w:after="0"/>
        <w:jc w:val="right"/>
      </w:pPr>
      <w:r>
        <w:t xml:space="preserve">ИНН [ИНН], ОГРН [ОГРН],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Финансовый управляющий:</w:t>
      </w:r>
      <w:r>
        <w:t xml:space="preserve"> [ФИО]</w:t>
      </w:r>
    </w:p>
    <w:p>
      <w:pPr>
        <w:spacing w:after="0"/>
        <w:jc w:val="right"/>
      </w:pPr>
      <w:r>
        <w:t xml:space="preserve">член [наименование СРО], адрес для корреспонденции: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Супруг(а) должника:</w:t>
      </w:r>
      <w:r>
        <w:t xml:space="preserve"> [ФИО], адрес: [адрес] </w:t>
      </w:r>
      <w:r>
        <w:rPr>
          <w:i/>
          <w:iCs/>
        </w:rPr>
        <w:t xml:space="preserve">(указывается, если квартира в общей собственности)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Госпошлина: [сумма]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разрешении разногласий относительно начальной продажной цены, порядка и условий проведения торгов по реализации предмета залога</w:t>
      </w:r>
    </w:p>
    <w:p>
      <w:pPr>
        <w:spacing w:after="120" w:line="276"/>
        <w:ind w:firstLine="709"/>
        <w:jc w:val="both"/>
      </w:pPr>
      <w:r>
        <w:t xml:space="preserve">Решением Арбитражного суда [наименование субъекта РФ] от [дата] по делу № [номер] я признан(а) несостоятельным (банкротом), введена процедура реализации имущества гражданина, финансовым управляющим утвержден(а) [ФИО].</w:t>
      </w:r>
    </w:p>
    <w:p>
      <w:pPr>
        <w:spacing w:after="120" w:line="276"/>
        <w:ind w:firstLine="709"/>
        <w:jc w:val="both"/>
      </w:pPr>
      <w:r>
        <w:t xml:space="preserve">Определением суда от [дата] требование [наименование банка] в размере [сумма] руб. включено в третью очередь реестра требований кредиторов как обеспеченное залогом квартиры по адресу: [адрес], кадастровый номер [номер], общей площадью [площадь] кв. м (далее — квартира). Залог возник из кредитного договора № [номер] от [дата] и договора ипотеки (закладной) от [дата].</w:t>
      </w:r>
    </w:p>
    <w:p>
      <w:pPr>
        <w:spacing w:after="120" w:line="276"/>
        <w:ind w:firstLine="709"/>
        <w:jc w:val="both"/>
      </w:pPr>
      <w:r>
        <w:t xml:space="preserve">Квартира является единственным пригодным для постоянного проживания жилым помещением для меня и членов моей семьи: [перечислить членов семьи, проживающих в квартире].</w:t>
      </w:r>
    </w:p>
    <w:p>
      <w:pPr>
        <w:spacing w:after="120" w:line="276"/>
        <w:ind w:firstLine="709"/>
        <w:jc w:val="both"/>
      </w:pPr>
      <w:r>
        <w:t xml:space="preserve">[Дата] финансовый управляющий включил в Единый федеральный реестр сведений о банкротстве сообщение № [номер] о порядке и условиях проведения торгов, определенных залоговым кредитором (далее — условия банка). Условия банка предусматривают:</w:t>
      </w:r>
    </w:p>
    <w:p>
      <w:pPr>
        <w:spacing w:after="120" w:line="276"/>
        <w:ind w:left="360" w:hanging="360"/>
        <w:jc w:val="both"/>
      </w:pPr>
      <w:r>
        <w:t xml:space="preserve">1. начальную продажную цену квартиры в размере [сумма] руб., равную залоговой стоимости по договору ипотеки от [дата];</w:t>
      </w:r>
    </w:p>
    <w:p>
      <w:pPr>
        <w:spacing w:after="120" w:line="276"/>
        <w:ind w:left="360" w:hanging="360"/>
        <w:jc w:val="both"/>
      </w:pPr>
      <w:r>
        <w:t xml:space="preserve">2. проведение торгов в форме аукциона с закрытой формой представления предложений о цене.</w:t>
      </w:r>
    </w:p>
    <w:p>
      <w:pPr>
        <w:spacing w:after="120" w:line="276"/>
        <w:ind w:firstLine="709"/>
        <w:jc w:val="both"/>
      </w:pPr>
      <w:r>
        <w:t xml:space="preserve">С этими условиями я не согласен(на). Финансовый управляющий разногласий не заявил.</w:t>
      </w:r>
    </w:p>
    <w:p>
      <w:pPr>
        <w:spacing w:after="160" w:before="200"/>
        <w:jc w:val="center"/>
      </w:pPr>
      <w:r>
        <w:rPr>
          <w:b/>
          <w:bCs/>
        </w:rPr>
        <w:t xml:space="preserve">Право должника на заявление и срок</w:t>
      </w:r>
    </w:p>
    <w:p>
      <w:pPr>
        <w:spacing w:after="120" w:line="276"/>
        <w:ind w:firstLine="709"/>
        <w:jc w:val="both"/>
      </w:pPr>
      <w:r>
        <w:t xml:space="preserve">В силу п. 4 ст. 213.26 Федерального закона от 26.10.2002 № 127-ФЗ «О несостоятельности (банкротстве)» (далее — Закон о банкротстве) предмет залога продается с учетом положений ст. 138 Закона о банкротстве. Согласно абзацу третьему п. 4 ст. 138 Закона о банкротстве при разногласиях между залоговым кредитором и конкурсным управляющим или лицами, участвующими в деле, по вопросам начальной продажной цены, порядка и условий проведения торгов каждый из них в течение десяти дней с даты включения сведений в ЕФРСБ вправе обратиться в арбитражный суд. Должник является лицом, участвующим в деле о банкротстве (п. 1 ст. 34 Закона о банкротстве).</w:t>
      </w:r>
    </w:p>
    <w:p>
      <w:pPr>
        <w:spacing w:after="120" w:line="276"/>
        <w:ind w:firstLine="709"/>
        <w:jc w:val="both"/>
      </w:pPr>
      <w:r>
        <w:t xml:space="preserve">Право иных лиц, участвующих в деле, заявлять возражения относительно порядка и условий торгов по продаже заложенного имущества подтверждено в абзаце пятом п. 9 постановления Пленума ВАС РФ от 23.07.2009 № 58. Кроме того, гражданин вправе оспорить оценку своего имущества (п. 2 ст. 213.26 Закона о банкротстве).</w:t>
      </w:r>
    </w:p>
    <w:p>
      <w:pPr>
        <w:spacing w:after="120" w:line="276"/>
        <w:ind w:firstLine="709"/>
        <w:jc w:val="both"/>
      </w:pPr>
      <w:r>
        <w:t xml:space="preserve">У меня есть самостоятельный имущественный интерес в цене продажи. Поскольку квартира является единственным жильем, выручка распределяется по ст. 213.27-1 Закона о банкротстве. Часть выручки в пределах первоначального взноса и произведенных мною платежей по ипотеке, а также остаток после погашения требования залогового кредитора исключаются из конкурсной массы и передаются должнику. Занижение цены непосредственно уменьшает эти суммы и увеличивает непогашенный остаток требования банка.</w:t>
      </w:r>
    </w:p>
    <w:p>
      <w:pPr>
        <w:spacing w:after="120" w:line="276"/>
        <w:ind w:firstLine="709"/>
        <w:jc w:val="both"/>
      </w:pPr>
      <w:r>
        <w:t xml:space="preserve">Сведения включены в ЕФРСБ [дата], заявление подается [дата], то есть в пределах десятидневного срока.</w:t>
      </w:r>
    </w:p>
    <w:p>
      <w:pPr>
        <w:spacing w:after="160" w:before="200"/>
        <w:jc w:val="center"/>
      </w:pPr>
      <w:r>
        <w:rPr>
          <w:b/>
          <w:bCs/>
        </w:rPr>
        <w:t xml:space="preserve">Начальная продажная цена занижена</w:t>
      </w:r>
    </w:p>
    <w:p>
      <w:pPr>
        <w:spacing w:after="120" w:line="276"/>
        <w:ind w:firstLine="709"/>
        <w:jc w:val="both"/>
      </w:pPr>
      <w:r>
        <w:t xml:space="preserve">Условия банка исходят из залоговой стоимости, согласованной в договоре ипотеки от [дата], то есть более [количество] лет назад. С тех пор цены на жилье в [населенный пункт] существенно изменились.</w:t>
      </w:r>
    </w:p>
    <w:p>
      <w:pPr>
        <w:spacing w:after="120" w:line="276"/>
        <w:ind w:firstLine="709"/>
        <w:jc w:val="both"/>
      </w:pPr>
      <w:r>
        <w:t xml:space="preserve">Согласно отчету об оценке № [номер] от [дата], составленному оценщиком [ФИО], членом [наименование СРО оценщиков], рыночная стоимость квартиры на [дата оценки] составляет [сумма] руб. Итоговая величина стоимости, указанная в отчете, признается достоверной и рекомендуемой для целей совершения сделки, пока в установленном порядке не доказано иное (ст. 12 Федерального закона от 29.07.1998 № 135-ФЗ «Об оценочной деятельности в Российской Федерации»).</w:t>
      </w:r>
    </w:p>
    <w:p>
      <w:pPr>
        <w:spacing w:after="120" w:line="276"/>
        <w:ind w:firstLine="709"/>
        <w:jc w:val="both"/>
      </w:pPr>
      <w:r>
        <w:t xml:space="preserve">По разъяснению, данному в ответе на вопрос 1 раздела «Разъяснения по вопросам, возникающим в судебной практике» Обзора судебной практики Верховного Суда РФ № 3 (2019) (утв. Президиумом ВС РФ 27.11.2019), при разногласиях относительно начальной продажной цены заложенного недвижимого имущества гражданина она определяется арбитражным судом в размере 80 процентов рыночной стоимости по результатам оценки (подп. 4 п. 2 ст. 54 Федерального закона «Об ипотеке (залоге недвижимости)»).</w:t>
      </w:r>
    </w:p>
    <w:p>
      <w:pPr>
        <w:spacing w:after="120" w:line="276"/>
        <w:ind w:firstLine="709"/>
        <w:jc w:val="both"/>
      </w:pPr>
      <w:r>
        <w:t xml:space="preserve">Следовательно, начальная продажная цена должна составлять [сумма] руб. (80% от [рыночная стоимость] руб.), что на [сумма] руб. выше цены, установленной банком.</w:t>
      </w:r>
    </w:p>
    <w:p>
      <w:pPr>
        <w:spacing w:after="120" w:line="276"/>
        <w:ind w:firstLine="709"/>
        <w:jc w:val="both"/>
      </w:pPr>
      <w:r>
        <w:t xml:space="preserve">Договорная залоговая стоимость не связывает суд при наличии спора о цене, а возражения залогодателя о ее занижении подлежат проверке, в том числе посредством судебной экспертизы (определение Судебной коллегии по экономическим спорам ВС РФ от 23.12.2022 № 305-ЭС22-17419).</w:t>
      </w:r>
    </w:p>
    <w:p>
      <w:pPr>
        <w:spacing w:after="120" w:line="276"/>
        <w:ind w:firstLine="709"/>
        <w:jc w:val="both"/>
      </w:pPr>
      <w:r>
        <w:t xml:space="preserve">Если залоговый кредитор оспорит представленный отчет, прошу назначить судебную оценочную экспертизу (ст. 82 АПК РФ). Денежные средства на оплату экспертизы в размере, определенном судом, готов(а) внести на депозитный счет суда (ч. 1 ст. 108 АПК РФ). Предлагаемые кандидатуры экспертов и вопрос приведены в приложении.</w:t>
      </w:r>
    </w:p>
    <w:p>
      <w:pPr>
        <w:spacing w:after="160" w:before="200"/>
        <w:jc w:val="center"/>
      </w:pPr>
      <w:r>
        <w:rPr>
          <w:b/>
          <w:bCs/>
        </w:rPr>
        <w:t xml:space="preserve">Закрытая форма подачи предложений ограничивает конкуренцию</w:t>
      </w:r>
    </w:p>
    <w:p>
      <w:pPr>
        <w:spacing w:after="120" w:line="276"/>
        <w:ind w:firstLine="709"/>
        <w:jc w:val="both"/>
      </w:pPr>
      <w:r>
        <w:t xml:space="preserve">Недвижимое имущество гражданина подлежит продаже на открытых торгах (п. 3 ст. 213.26 Закона о банкротстве). При закрытой форме участники подают единственное предложение о цене одновременно с заявкой и лишены возможности конкурировать в ходе торгов (абзац четвертый п. 13 ст. 110 Закона о банкротстве). Для ликвидного жилого помещения такая форма снижает итоговую цену.</w:t>
      </w:r>
    </w:p>
    <w:p>
      <w:pPr>
        <w:spacing w:after="120" w:line="276"/>
        <w:ind w:firstLine="709"/>
        <w:jc w:val="both"/>
      </w:pPr>
      <w:r>
        <w:t xml:space="preserve">Открытая форма представления предложений предполагает повышение начальной цены на «шаг аукциона», который устанавливается в размере от пяти до десяти процентов начальной цены (абзац второй п. 13 ст. 110 Закона о банкротстве). Минимальный шаг в 5% позволяет участникам дольше конкурировать и приближает итоговую цену к рыночной.</w:t>
      </w:r>
    </w:p>
    <w:p>
      <w:pPr>
        <w:spacing w:after="120" w:line="276"/>
        <w:ind w:firstLine="709"/>
        <w:jc w:val="both"/>
      </w:pPr>
      <w:r>
        <w:t xml:space="preserve">Суд вправе изменить порядок и условия продажи заложенного имущества, если они способны негативно повлиять на возможность получения максимальной цены, в том числе на доступ публики к торгам (абзац шестой п. 9 постановления Пленума ВАС РФ от 23.07.2009 № 58).</w:t>
      </w:r>
    </w:p>
    <w:p>
      <w:pPr>
        <w:spacing w:after="160" w:before="200"/>
        <w:jc w:val="center"/>
      </w:pPr>
      <w:r>
        <w:rPr>
          <w:b/>
          <w:bCs/>
        </w:rPr>
        <w:t xml:space="preserve">Обеспечительная мера</w:t>
      </w:r>
    </w:p>
    <w:p>
      <w:pPr>
        <w:spacing w:after="120" w:line="276"/>
        <w:ind w:firstLine="709"/>
        <w:jc w:val="both"/>
      </w:pPr>
      <w:r>
        <w:t xml:space="preserve">Первые торги назначены на [дата], прием заявок завершается [дата]. Если торги пройдут на условиях банка до рассмотрения настоящего заявления, квартира будет продана по заниженной цене, а восстановить положение сторон будет крайне затруднительно. Испрашиваемая мера связана с предметом спора, не нарушает баланс интересов кредиторов и носит временный характер (ст. 46 Закона о банкротстве, ст. 90, 91 АПК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п. 4 ст. 213.26, п. 4 ст. 138, ст. 46, 60 Закона о банкротстве, ст. 82, 90, 91, 223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Разрешить разногласия между должником [ФИО], залоговым кредитором [наименование банка] и финансовым управляющим [ФИО] относительно начальной продажной цены, порядка и условий проведения торгов по реализации квартиры по адресу: [адрес], кадастровый номер [номер].</w:t>
      </w:r>
    </w:p>
    <w:p>
      <w:pPr>
        <w:spacing w:after="120" w:line="276"/>
        <w:ind w:left="360" w:hanging="360"/>
        <w:jc w:val="both"/>
      </w:pPr>
      <w:r>
        <w:t xml:space="preserve">2. Установить начальную продажную цену квартиры в размере [сумма] руб.</w:t>
      </w:r>
    </w:p>
    <w:p>
      <w:pPr>
        <w:spacing w:after="120" w:line="276"/>
        <w:ind w:left="360" w:hanging="360"/>
        <w:jc w:val="both"/>
      </w:pPr>
      <w:r>
        <w:t xml:space="preserve">3. Утвердить порядок и условия проведения торгов с изменениями: торги проводятся в форме открытого аукциона с открытой формой представления предложений о цене; «шаг аукциона» составляет 5 процентов начальной продажной цены. В остальной части утвердить условия, включенные в ЕФРСБ [дата] (сообщение № [номер]).</w:t>
      </w:r>
    </w:p>
    <w:p>
      <w:pPr>
        <w:spacing w:after="120" w:line="276"/>
        <w:ind w:left="360" w:hanging="360"/>
        <w:jc w:val="both"/>
      </w:pPr>
      <w:r>
        <w:t xml:space="preserve">4. При наличии возражений залогового кредитора относительно рыночной стоимости квартиры назначить судебную оценочную экспертизу.</w:t>
      </w:r>
    </w:p>
    <w:p>
      <w:pPr>
        <w:spacing w:after="120" w:line="276"/>
        <w:ind w:left="360" w:hanging="360"/>
        <w:jc w:val="both"/>
      </w:pPr>
      <w:r>
        <w:t xml:space="preserve">5. В качестве обеспечительной меры запретить финансовому управляющему и организатору торгов проводить торги по реализации квартиры до вступления в законную силу определения по настоящему заявлению.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Распечатка сообщения ЕФРСБ № [номер] от [дата] с условиями залогового кредитора.</w:t>
      </w:r>
    </w:p>
    <w:p>
      <w:pPr>
        <w:spacing w:after="120" w:line="276"/>
        <w:ind w:left="360" w:hanging="360"/>
        <w:jc w:val="both"/>
      </w:pPr>
      <w:r>
        <w:t xml:space="preserve">3. Копия договора ипотеки (закладной) от [дата] и выписка из ЕГРН на квартиру.</w:t>
      </w:r>
    </w:p>
    <w:p>
      <w:pPr>
        <w:spacing w:after="120" w:line="276"/>
        <w:ind w:left="360" w:hanging="360"/>
        <w:jc w:val="both"/>
      </w:pPr>
      <w:r>
        <w:t xml:space="preserve">4. Копия отчета об оценке № [номер] от [дата] и документы о членстве оценщика в СРО.</w:t>
      </w:r>
    </w:p>
    <w:p>
      <w:pPr>
        <w:spacing w:after="120" w:line="276"/>
        <w:ind w:left="360" w:hanging="360"/>
        <w:jc w:val="both"/>
      </w:pPr>
      <w:r>
        <w:t xml:space="preserve">5. Расчет распределения выручки по ст. 213.27-1 Закона о банкротстве при цене банка и при цене должника.</w:t>
      </w:r>
    </w:p>
    <w:p>
      <w:pPr>
        <w:spacing w:after="120" w:line="276"/>
        <w:ind w:left="360" w:hanging="360"/>
        <w:jc w:val="both"/>
      </w:pPr>
      <w:r>
        <w:t xml:space="preserve">6. Документы о составе семьи и регистрации по месту жительства.</w:t>
      </w:r>
    </w:p>
    <w:p>
      <w:pPr>
        <w:spacing w:after="120" w:line="276"/>
        <w:ind w:left="360" w:hanging="360"/>
        <w:jc w:val="both"/>
      </w:pPr>
      <w:r>
        <w:t xml:space="preserve">7. Предложения по кандидатурам экспертов и вопросу для экспертизы.</w:t>
      </w:r>
    </w:p>
    <w:p>
      <w:pPr>
        <w:spacing w:after="120" w:line="276"/>
        <w:ind w:left="360" w:hanging="360"/>
        <w:jc w:val="both"/>
      </w:pPr>
      <w:r>
        <w:t xml:space="preserve">8. Доказательства направления копии заявления лицам, указанным в шапке.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 должника]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2026-10-16T17:28:37.082Z</dcterms:created>
  <dcterms:modified xsi:type="dcterms:W3CDTF">2026-10-16T17:28:37.082Z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