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налоговой службы по [субъект РФ]</w:t>
      </w:r>
    </w:p>
    <w:p>
      <w:pPr>
        <w:spacing w:after="0"/>
        <w:jc w:val="right"/>
      </w:pPr>
      <w:r>
        <w:t xml:space="preserve">[адрес УФНС]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инспекции, вынесшей решение]</w:t>
      </w:r>
    </w:p>
    <w:p>
      <w:pPr>
        <w:spacing w:after="0"/>
        <w:jc w:val="right"/>
      </w:pPr>
      <w:r>
        <w:t xml:space="preserve">[адрес инспекции]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КПП [КПП],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Обжалуемое решение: от [дата] № [номер] о привлечении к ответственности за совершение налогового правонарушения (вручено [дата])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по выездной налоговой проверке в части отказа в вычетах НДС по операциям с ООО «[поставщик]»</w:t>
      </w:r>
    </w:p>
    <w:p>
      <w:pPr>
        <w:spacing w:after="120" w:line="276"/>
        <w:ind w:firstLine="709"/>
        <w:jc w:val="both"/>
      </w:pPr>
      <w:r>
        <w:t xml:space="preserve">[Наименование инспекции] провела выездную налоговую проверку ООО «[наименование]» (далее — Общество) за период с [дата] по [дата]. По её результатам вынесено решение от [дата] № [номер] (далее — Решение). Решение вручено Обществу [дата], то есть не вступило в силу, и обжалуется в апелляционном порядке на основании п. 2 ст. 139.1 НК РФ.</w:t>
      </w:r>
    </w:p>
    <w:p>
      <w:pPr>
        <w:spacing w:after="120" w:line="276"/>
        <w:ind w:firstLine="709"/>
        <w:jc w:val="both"/>
      </w:pPr>
      <w:r>
        <w:t xml:space="preserve">Решением Обществу доначислен НДС в размере [18 000 000] руб., пени в размере [сумма] руб. и штраф по п. 3 ст. 122 НК РФ в размере [сумма] руб. Доначисления основаны на отказе в вычетах НДС по счетам-фактурам ООО «[поставщик]» (ИНН [ИНН]) за поставку металлопроката по договору поставки от [дата] № [номер] на общую сумму [108 000 000] руб., в том числе НДС [18 000 000] руб.</w:t>
      </w:r>
    </w:p>
    <w:p>
      <w:pPr>
        <w:spacing w:after="120" w:line="276"/>
        <w:ind w:firstLine="709"/>
        <w:jc w:val="both"/>
      </w:pPr>
      <w:r>
        <w:t xml:space="preserve">Инспекция считает поставщика «технической» компанией: у него нет персонала, складов и транспорта, денежные средства перечислялись дальше по цепочке, руководитель отрицает участие в деятельности организации. Отсюда сделан вывод о нарушении подп. 2 п. 2 ст. 54.1 НК РФ и об умысле Общества.</w:t>
      </w:r>
    </w:p>
    <w:p>
      <w:pPr>
        <w:spacing w:after="120" w:line="276"/>
        <w:ind w:firstLine="709"/>
        <w:jc w:val="both"/>
      </w:pPr>
      <w:r>
        <w:t xml:space="preserve">Общество с Решением в обжалуемой части не согласно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Металлопрокат реально получен и использован в облагаемой НДС деятельности</w:t>
      </w:r>
    </w:p>
    <w:p>
      <w:pPr>
        <w:spacing w:after="120" w:line="276"/>
        <w:ind w:firstLine="709"/>
        <w:jc w:val="both"/>
      </w:pPr>
      <w:r>
        <w:t xml:space="preserve">Общество изготавливает [металлоконструкции / изделия] и реализует их с начислением НДС. Спорный металлопрокат поступил на склад Общества и был израсходован в производстве. Это подтверждают:</w:t>
      </w:r>
    </w:p>
    <w:p>
      <w:pPr>
        <w:spacing w:after="120" w:line="276"/>
        <w:ind w:left="360" w:hanging="360"/>
        <w:jc w:val="both"/>
      </w:pPr>
      <w:r>
        <w:t xml:space="preserve">1. Транспортные накладные от [даты] № [номера] с указанием грузоотправителя, адреса погрузки [адрес], водителей и транспортных средств.</w:t>
      </w:r>
    </w:p>
    <w:p>
      <w:pPr>
        <w:spacing w:after="120" w:line="276"/>
        <w:ind w:left="360" w:hanging="360"/>
        <w:jc w:val="both"/>
      </w:pPr>
      <w:r>
        <w:t xml:space="preserve">2. Журнал регистрации въезда транспорта и пропуска на территорию Общества за [период], акты взвешивания на весовой Общества.</w:t>
      </w:r>
    </w:p>
    <w:p>
      <w:pPr>
        <w:spacing w:after="120" w:line="276"/>
        <w:ind w:left="360" w:hanging="360"/>
        <w:jc w:val="both"/>
      </w:pPr>
      <w:r>
        <w:t xml:space="preserve">3. Приходные ордера по форме М-4 и карточки складского учёта по маркам и размерам металла.</w:t>
      </w:r>
    </w:p>
    <w:p>
      <w:pPr>
        <w:spacing w:after="120" w:line="276"/>
        <w:ind w:left="360" w:hanging="360"/>
        <w:jc w:val="both"/>
      </w:pPr>
      <w:r>
        <w:t xml:space="preserve">4. Требования-накладные на отпуск металла в цех, сменные задания и отчёты производства о его расходе.</w:t>
      </w:r>
    </w:p>
    <w:p>
      <w:pPr>
        <w:spacing w:after="120" w:line="276"/>
        <w:ind w:left="360" w:hanging="360"/>
        <w:jc w:val="both"/>
      </w:pPr>
      <w:r>
        <w:t xml:space="preserve">5. Документы о реализации готовой продукции, изготовленной из спорного металла, покупателям [наименования] (договоры, УПД, платёжные поручения).</w:t>
      </w:r>
    </w:p>
    <w:p>
      <w:pPr>
        <w:spacing w:after="120" w:line="276"/>
        <w:ind w:firstLine="709"/>
        <w:jc w:val="both"/>
      </w:pPr>
      <w:r>
        <w:t xml:space="preserve">Инспекция не опровергла сам факт поступления и использования металла и не установила, что Общество получило его из иного источника, чем указан в документах. По смыслу п. 4 письма ФНС России от 10.03.2021 № БВ-4-7/3060@ в такой ситуации, когда сам факт исполнения не ставится под сомнение, вопрос об уменьшении налоговой обязанности решается с учётом формы вины и данных о действительном поставщике, а не путём полного отказа в вычетах.</w:t>
      </w:r>
    </w:p>
    <w:p>
      <w:pPr>
        <w:spacing w:after="120" w:line="276"/>
        <w:ind w:firstLine="709"/>
        <w:jc w:val="both"/>
      </w:pPr>
      <w:r>
        <w:t xml:space="preserve">Верховный Суд РФ указал, что при доказанной реальности поставки (доставка, оприходование, использование товара) недостатки подписания счетов-фактур и минимальные налоговые платежи поставщика не являются основанием для отказа в вычете (определение СКЭС ВС РФ от 14.05.2020 № 307-ЭС19-27597).</w:t>
      </w:r>
    </w:p>
    <w:p>
      <w:pPr>
        <w:spacing w:after="160" w:before="200"/>
        <w:jc w:val="center"/>
      </w:pPr>
      <w:r>
        <w:rPr>
          <w:b/>
          <w:bCs/>
        </w:rPr>
        <w:t xml:space="preserve">2. Общество проявило должную осмотрительность и не знало о нарушениях поставщика</w:t>
      </w:r>
    </w:p>
    <w:p>
      <w:pPr>
        <w:spacing w:after="120" w:line="276"/>
        <w:ind w:firstLine="709"/>
        <w:jc w:val="both"/>
      </w:pPr>
      <w:r>
        <w:t xml:space="preserve">Перед заключением договора Общество [запросило выписку из ЕГРЮЛ, учредительные документы и документы о полномочиях директора; проверило отсутствие сведений о недостоверности; провело переговоры с представителем поставщика [ФИО]; осмотрело площадку отгрузки по адресу [адрес]]. Условия поставки (цена, отсрочка, сроки) соответствовали рыночным, что подтверждают [коммерческие предложения других поставщиков от [даты]].</w:t>
      </w:r>
    </w:p>
    <w:p>
      <w:pPr>
        <w:spacing w:after="120" w:line="276"/>
        <w:ind w:firstLine="709"/>
        <w:jc w:val="both"/>
      </w:pPr>
      <w:r>
        <w:t xml:space="preserve">Согласно п. 3 ст. 54.1 НК РФ подписание документов неустановленным или неуполномоченным лицом и нарушение контрагентом налогового законодательства не являются самостоятельным основанием для отказа в вычете. Нарушения контрагента сами по себе не доказывают необоснованную налоговую выгоду, пока налоговый орган не докажет, что налогоплательщик действовал без должной осмотрительности и должен был знать о них (п. 10 Постановления Пленума ВАС РФ от 12.10.2006 № 53). Взаимозависимости, подконтрольности, возврата денежных средств Обществу или его участникам Инспекция не установила.</w:t>
      </w:r>
    </w:p>
    <w:p>
      <w:pPr>
        <w:spacing w:after="120" w:line="276"/>
        <w:ind w:firstLine="709"/>
        <w:jc w:val="both"/>
      </w:pPr>
      <w:r>
        <w:t xml:space="preserve">При таких обстоятельствах Общество вправе применить вычеты по спорным документам (п. 20 письма ФНС России № БВ-4-7/3060@).</w:t>
      </w:r>
    </w:p>
    <w:p>
      <w:pPr>
        <w:spacing w:after="160" w:before="200"/>
        <w:jc w:val="center"/>
      </w:pPr>
      <w:r>
        <w:rPr>
          <w:b/>
          <w:bCs/>
        </w:rPr>
        <w:t xml:space="preserve">3. Реальный поставщик установлен, поэтому снять можно только НДС с наценки посредника</w:t>
      </w:r>
    </w:p>
    <w:p>
      <w:pPr>
        <w:spacing w:after="120" w:line="276"/>
        <w:ind w:firstLine="709"/>
        <w:jc w:val="both"/>
      </w:pPr>
      <w:r>
        <w:t xml:space="preserve">Даже если согласиться с Инспекцией в том, что ООО «[поставщик]» не исполняло договор само, металлопрокат поставило конкретное лицо, действующее в легальном обороте, — ООО «[реальный поставщик]» (ИНН [ИНН]). Это следует из:</w:t>
      </w:r>
    </w:p>
    <w:p>
      <w:pPr>
        <w:spacing w:after="120" w:line="276"/>
        <w:ind w:left="360" w:hanging="360"/>
        <w:jc w:val="both"/>
      </w:pPr>
      <w:r>
        <w:t xml:space="preserve">1. Сертификатов качества завода-изготовителя [наименование] на партии металла с номерами плавок [номера], полученных Обществом вместе с товаром. Те же номера плавок указаны в документах ООО «[реальный поставщик]».</w:t>
      </w:r>
    </w:p>
    <w:p>
      <w:pPr>
        <w:spacing w:after="120" w:line="276"/>
        <w:ind w:left="360" w:hanging="360"/>
        <w:jc w:val="both"/>
      </w:pPr>
      <w:r>
        <w:t xml:space="preserve">2. Выписок по счёту ООО «[поставщик]» из материалов проверки: денежные средства, полученные от Общества, в те же дни перечислялись ООО «[реальный поставщик]» с назначением «оплата за металлопрокат» на сумму [90 000 000] руб., в том числе НДС [15 000 000] руб.</w:t>
      </w:r>
    </w:p>
    <w:p>
      <w:pPr>
        <w:spacing w:after="120" w:line="276"/>
        <w:ind w:left="360" w:hanging="360"/>
        <w:jc w:val="both"/>
      </w:pPr>
      <w:r>
        <w:t xml:space="preserve">3. Транспортных накладных, в которых адресом погрузки указан склад ООО «[реальный поставщик]» по адресу [адрес].</w:t>
      </w:r>
    </w:p>
    <w:p>
      <w:pPr>
        <w:spacing w:after="120" w:line="276"/>
        <w:ind w:firstLine="709"/>
        <w:jc w:val="both"/>
      </w:pPr>
      <w:r>
        <w:t xml:space="preserve">ООО «[реальный поставщик]» отразило реализацию металла и исчислило НДС в своих декларациях за [периоды].</w:t>
      </w:r>
    </w:p>
    <w:p>
      <w:pPr>
        <w:spacing w:after="120" w:line="276"/>
        <w:ind w:firstLine="709"/>
        <w:jc w:val="both"/>
      </w:pPr>
      <w:r>
        <w:t xml:space="preserve">Если в цепочку поставки включены «технические» компании, но у налогового органа есть сведения, в том числе раскрытые покупателем, о лице, которое фактически исполнило сделку и уплатило налоги, необоснованной выгодой может быть признана только та часть вычетов, которая приходится на наценку «технических» компаний (определения СКЭС ВС РФ от 15.12.2021 № 305-ЭС21-18005 и от 12.04.2022 № 302-ЭС21-22323; п. 6 и 8 Обзора практики, утверждённого Президиумом ВС РФ 13.12.2023). Тот же подход закреплён в п. 10 и 17.1 письма ФНС России № БВ-4-7/3060@: вычеты учитываются исходя из параметров реального исполнения по документам фактического поставщика. Довод о том, что реальный поставщик раскрыт после завершения проверки, Верховный Суд РФ признал формальным (определение № 302-ЭС21-22323).</w:t>
      </w:r>
    </w:p>
    <w:p>
      <w:pPr>
        <w:spacing w:after="120" w:line="276"/>
        <w:ind w:firstLine="709"/>
        <w:jc w:val="both"/>
      </w:pPr>
      <w:r>
        <w:t xml:space="preserve">Следовательно, необоснованной выгодой может быть признан не более чем НДС в сумме [3 000 000] руб. ([18 000 000] − [15 000 000]). Доначисление НДС в оставшейся части, а также пени и штраф на неё взысканы сверх действительной налоговой обязанности.</w:t>
      </w:r>
    </w:p>
    <w:p>
      <w:pPr>
        <w:spacing w:after="120" w:line="276"/>
        <w:ind w:firstLine="709"/>
        <w:jc w:val="both"/>
      </w:pPr>
      <w:r>
        <w:t xml:space="preserve">Общество просит истребовать у ООО «[реальный поставщик]» документы по поставкам в адрес ООО «[поставщик]» за [период] (ст. 93.1 НК РФ) и рассмотреть жалобу с участием Общества, поскольку представленные сведения противоречат выводам Решения (п. 2 ст. 140 НК РФ).</w:t>
      </w:r>
    </w:p>
    <w:p>
      <w:pPr>
        <w:spacing w:after="160" w:before="200"/>
        <w:jc w:val="center"/>
      </w:pPr>
      <w:r>
        <w:rPr>
          <w:b/>
          <w:bCs/>
        </w:rPr>
        <w:t xml:space="preserve">4. Умысел Общества не доказан, штраф должен быть переквалифицирован и снижен</w:t>
      </w:r>
    </w:p>
    <w:p>
      <w:pPr>
        <w:spacing w:after="120" w:line="276"/>
        <w:ind w:firstLine="709"/>
        <w:jc w:val="both"/>
      </w:pPr>
      <w:r>
        <w:t xml:space="preserve">Вывод об осведомлённости налогоплательщика о «технической» компании должен подтверждаться доказательствами, которые «вне всяких сомнений» свидетельствуют о такой осведомлённости (п. 9 письма ФНС России № БВ-4-7/3060@). Таких доказательств в Решении нет: Инспекция ограничилась характеристикой самого поставщика. Даже если признать, что Общество должно было знать о нарушениях, это неосторожность, которая квалифицируется по п. 1 ст. 122 НК РФ (п. 19 того же письма).</w:t>
      </w:r>
    </w:p>
    <w:p>
      <w:pPr>
        <w:spacing w:after="120" w:line="276"/>
        <w:ind w:firstLine="709"/>
        <w:jc w:val="both"/>
      </w:pPr>
      <w:r>
        <w:t xml:space="preserve">Кроме того, имеются смягчающие обстоятельства: [правонарушение совершено впервые; добросовестное исполнение налоговых обязанностей в предыдущие периоды; социально значимая деятельность, численность работников [число] человек; содействие проверке]. В силу п. 3 ст. 114 НК РФ штраф подлежит уменьшению не менее чем в два раза.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54.1, 101.2, 139.1, 139.2, 140 НК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решение [наименование инспекции] от [дата] № [номер] в части доначисления НДС в размере [18 000 000] руб., соответствующих пеней и штрафа по п. 3 ст. 122 НК РФ по операциям с ООО «[поставщик]».</w:t>
      </w:r>
    </w:p>
    <w:p>
      <w:pPr>
        <w:spacing w:after="120" w:line="276"/>
        <w:ind w:left="360" w:hanging="360"/>
        <w:jc w:val="both"/>
      </w:pPr>
      <w:r>
        <w:t xml:space="preserve">2. В случае отказа в удовлетворении п. 1 отменить Решение в указанной части и принять новое решение, определив недоимку по НДС по операциям с ООО «[поставщик]» исходя из параметров реального исполнения ООО «[реальный поставщик]», то есть в размере не более [3 000 000] руб., с перерасчётом пеней и штрафа.</w:t>
      </w:r>
    </w:p>
    <w:p>
      <w:pPr>
        <w:spacing w:after="120" w:line="276"/>
        <w:ind w:left="360" w:hanging="360"/>
        <w:jc w:val="both"/>
      </w:pPr>
      <w:r>
        <w:t xml:space="preserve">3. Переквалифицировать вменённое правонарушение с п. 3 на п. 1 ст. 122 НК РФ и уменьшить штраф с учётом смягчающих обстоятельств (п. 3 ст. 114 НК РФ).</w:t>
      </w:r>
    </w:p>
    <w:p>
      <w:pPr>
        <w:spacing w:after="120" w:line="276"/>
        <w:ind w:left="360" w:hanging="360"/>
        <w:jc w:val="both"/>
      </w:pPr>
      <w:r>
        <w:t xml:space="preserve">4. Истребовать у ООО «[реальный поставщик]» документы по поставкам металлопроката в адрес ООО «[поставщик]» за [период].</w:t>
      </w:r>
    </w:p>
    <w:p>
      <w:pPr>
        <w:spacing w:after="120" w:line="276"/>
        <w:ind w:left="360" w:hanging="360"/>
        <w:jc w:val="both"/>
      </w:pPr>
      <w:r>
        <w:t xml:space="preserve">5. Рассмотреть жалобу с участием представителя Общества, известив его по адресу [e-mail / адрес].</w:t>
      </w:r>
    </w:p>
    <w:p>
      <w:pPr>
        <w:spacing w:after="120" w:line="276"/>
        <w:ind w:firstLine="709"/>
        <w:jc w:val="both"/>
      </w:pPr>
      <w:r>
        <w:t xml:space="preserve">Решение по жалобе прошу направить [через личный кабинет налогоплательщика / по ТКС].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Транспортные накладные, журнал въезда, акты взвешивания (копии).</w:t>
      </w:r>
    </w:p>
    <w:p>
      <w:pPr>
        <w:spacing w:after="120" w:line="276"/>
        <w:ind w:left="360" w:hanging="360"/>
        <w:jc w:val="both"/>
      </w:pPr>
      <w:r>
        <w:t xml:space="preserve">3. Приходные ордера М-4, карточки складского учёта, требования-накладные, отчёты производства (копии).</w:t>
      </w:r>
    </w:p>
    <w:p>
      <w:pPr>
        <w:spacing w:after="120" w:line="276"/>
        <w:ind w:left="360" w:hanging="360"/>
        <w:jc w:val="both"/>
      </w:pPr>
      <w:r>
        <w:t xml:space="preserve">4. Документы о реализации готовой продукции (копии).</w:t>
      </w:r>
    </w:p>
    <w:p>
      <w:pPr>
        <w:spacing w:after="120" w:line="276"/>
        <w:ind w:left="360" w:hanging="360"/>
        <w:jc w:val="both"/>
      </w:pPr>
      <w:r>
        <w:t xml:space="preserve">5. Документы о проверке поставщика при заключении договора (копии).</w:t>
      </w:r>
    </w:p>
    <w:p>
      <w:pPr>
        <w:spacing w:after="120" w:line="276"/>
        <w:ind w:left="360" w:hanging="360"/>
        <w:jc w:val="both"/>
      </w:pPr>
      <w:r>
        <w:t xml:space="preserve">6. Сертификаты качества завода-изготовителя (копии).</w:t>
      </w:r>
    </w:p>
    <w:p>
      <w:pPr>
        <w:spacing w:after="120" w:line="276"/>
        <w:ind w:left="360" w:hanging="360"/>
        <w:jc w:val="both"/>
      </w:pPr>
      <w:r>
        <w:t xml:space="preserve">7. Расчёт НДС, приходящегося на наценку ООО «[поставщик]».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[Должность] ООО «[наименование]»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2026-10-16T22:45:01.106Z</dcterms:created>
  <dcterms:modified xsi:type="dcterms:W3CDTF">2026-10-16T22:45:01.106Z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