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Государственное бюджетное учреждение здравоохранения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[174 546,00] руб.</w:t>
      </w:r>
    </w:p>
    <w:p>
      <w:pPr>
        <w:spacing w:after="0"/>
        <w:jc w:val="right"/>
      </w:pPr>
      <w:r>
        <w:t xml:space="preserve">Государственная пошлина: [13 727]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пени за просрочку оплаты по государственному контракту</w:t>
      </w:r>
    </w:p>
    <w:p>
      <w:pPr>
        <w:spacing w:after="120" w:line="276"/>
        <w:ind w:firstLine="709"/>
        <w:jc w:val="both"/>
      </w:pPr>
      <w:r>
        <w:t xml:space="preserve">[дата контракта] между ООО «[наименование]» (поставщик) и ГБУЗ «[наименование]» (заказчик) по результатам [электронного аукциона] заключён контракт № [номер] (ИКЗ [идентификационный код закупки], реестровый номер [номер]) на поставку [наименование товара] на общую сумму [сумма] руб. (далее — Контракт).</w:t>
      </w:r>
    </w:p>
    <w:p>
      <w:pPr>
        <w:spacing w:after="120" w:line="276"/>
        <w:ind w:firstLine="709"/>
        <w:jc w:val="both"/>
      </w:pPr>
      <w:r>
        <w:t xml:space="preserve">По пункту [номер] Контракта заказчик оплачивает товар в течение 7 рабочих дней с даты подписания документа о приёмке. Это соответствует ч. 13.1 ст. 34 Федерального закона от 05.04.2013 № 44-ФЗ «О контрактной системе…» (далее — Закон № 44-ФЗ). По пункту [номер] Контракта за просрочку оплаты заказчик уплачивает пеню в размере одной трёхсотой действующей на дату уплаты пеней ключевой ставки ЦБ РФ от не уплаченной в срок суммы за каждый день просрочки.</w:t>
      </w:r>
    </w:p>
    <w:p>
      <w:pPr>
        <w:spacing w:after="120" w:line="276"/>
        <w:ind w:firstLine="709"/>
        <w:jc w:val="both"/>
      </w:pPr>
      <w:r>
        <w:t xml:space="preserve">Истец поставил товар тремя партиями. Каждая партия принята ответчиком без замечаний путём подписания документа о приёмке в единой информационной системе (ч. 13 ст. 94 Закона № 44-ФЗ). Оплата по всем трём партиям произведена с нарушением срока: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Партия № 1.</w:t>
      </w:r>
      <w:r>
        <w:t xml:space="preserve"> Документ о приёмке № [номер] на сумму [1 840 000,00] руб. подписан заказчиком в ЕИС [15.09.2025]. Последний день оплаты — [24.09.2025]. Оплата поступила [17.11.2025] (платёжное поручение № [номер]).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Партия № 2.</w:t>
      </w:r>
      <w:r>
        <w:t xml:space="preserve"> Документ о приёмке № [номер] на сумму [2 350 000,00] руб. подписан заказчиком в ЕИС [02.02.2026]. Последний день оплаты — [11.02.2026]. Оплата поступила [06.04.2026] (платёжное поручение № [номер]).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Партия № 3.</w:t>
      </w:r>
      <w:r>
        <w:t xml:space="preserve"> Документ о приёмке № [номер] на сумму [1 260 000,00] руб. подписан заказчиком в ЕИС [01.06.2026]. Последний день оплаты — [10.06.2026]. Оплата поступила [14.09.2026] (платёжное поручение № [номер]).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пени</w:t>
      </w:r>
    </w:p>
    <w:p>
      <w:pPr>
        <w:spacing w:after="120" w:line="276"/>
        <w:ind w:firstLine="709"/>
        <w:jc w:val="both"/>
      </w:pPr>
      <w:r>
        <w:t xml:space="preserve">Пеня рассчитана по каждой партии отдельно по формуле: сумма × ключевая ставка на дату оплаты / 300 × количество дней просрочки.</w:t>
      </w:r>
    </w:p>
    <w:p>
      <w:pPr>
        <w:spacing w:after="120" w:line="276"/>
        <w:ind w:left="360" w:hanging="360"/>
        <w:jc w:val="both"/>
      </w:pPr>
      <w:r>
        <w:t xml:space="preserve">1. Партия № 1: [1 840 000,00] руб. × [16,5] % / 300 × [54] дня (с [25.09.2025] по [17.11.2025]) = </w:t>
      </w:r>
      <w:r>
        <w:rPr>
          <w:b/>
          <w:bCs/>
        </w:rPr>
        <w:t xml:space="preserve">[54 648,00] руб.</w:t>
      </w:r>
      <w:r>
        <w:t xml:space="preserve"> Ставка [16,5] % действовала на дату оплаты [17.11.2025].</w:t>
      </w:r>
    </w:p>
    <w:p>
      <w:pPr>
        <w:spacing w:after="120" w:line="276"/>
        <w:ind w:left="360" w:hanging="360"/>
        <w:jc w:val="both"/>
      </w:pPr>
      <w:r>
        <w:t xml:space="preserve">2. Партия № 2: [2 350 000,00] руб. × [15] % / 300 × [54] дня (с [12.02.2026] по [06.04.2026]) = </w:t>
      </w:r>
      <w:r>
        <w:rPr>
          <w:b/>
          <w:bCs/>
        </w:rPr>
        <w:t xml:space="preserve">[63 450,00] руб.</w:t>
      </w:r>
      <w:r>
        <w:t xml:space="preserve"> Ставка [15] % действовала на дату оплаты [06.04.2026].</w:t>
      </w:r>
    </w:p>
    <w:p>
      <w:pPr>
        <w:spacing w:after="120" w:line="276"/>
        <w:ind w:left="360" w:hanging="360"/>
        <w:jc w:val="both"/>
      </w:pPr>
      <w:r>
        <w:t xml:space="preserve">3. Партия № 3: [1 260 000,00] руб. × [14] % / 300 × [96] дней (с [11.06.2026] по [14.09.2026]) = </w:t>
      </w:r>
      <w:r>
        <w:rPr>
          <w:b/>
          <w:bCs/>
        </w:rPr>
        <w:t xml:space="preserve">[56 448,00] руб.</w:t>
      </w:r>
      <w:r>
        <w:t xml:space="preserve"> Ставка [14] % действовала на дату оплаты [14.09.2026].</w:t>
      </w:r>
    </w:p>
    <w:p>
      <w:pPr>
        <w:spacing w:after="120" w:line="276"/>
        <w:ind w:firstLine="709"/>
        <w:jc w:val="both"/>
      </w:pPr>
      <w:r>
        <w:t xml:space="preserve">Итого пени: </w:t>
      </w:r>
      <w:r>
        <w:rPr>
          <w:b/>
          <w:bCs/>
        </w:rPr>
        <w:t xml:space="preserve">[174 546,00]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По ч. 5 ст. 34 Закона № 44-ФЗ при просрочке исполнения заказчиком обязательств поставщик вправе потребовать уплаты пеней. Пеня начисляется за каждый день просрочки, начиная со дня, следующего после истечения установленного срока, в размере одной трёхсотой действующей на дату уплаты пеней ключевой ставки ЦБ РФ от не уплаченной в срок суммы. Неустойка установлена законом, поэтому применяется независимо от формулировок контракта (ст. 330, 332 ГК РФ).</w:t>
      </w:r>
    </w:p>
    <w:p>
      <w:pPr>
        <w:spacing w:after="120" w:line="276"/>
        <w:ind w:firstLine="709"/>
        <w:jc w:val="both"/>
      </w:pPr>
      <w:r>
        <w:t xml:space="preserve">Основной долг по каждой партии погашен до обращения в суд. Значит, размер неустойки определился в момент исполнения обязательства, и применяется ставка на дату фактической оплаты. Так разъяснила Судебная коллегия по экономическим спорам Верховного Суда РФ в определениях от 04.12.2018 № 302-ЭС18-10991 (дело № А33-16241/2017) и № 305-ЭС25-14824 по делу № А40-177684/2024 (резолютивная часть объявлена 29.04.2026). Поэтому истец применил к каждой партии одну ставку, действовавшую на дату её оплаты.</w:t>
      </w:r>
    </w:p>
    <w:p>
      <w:pPr>
        <w:spacing w:after="120" w:line="276"/>
        <w:ind w:firstLine="709"/>
        <w:jc w:val="both"/>
      </w:pPr>
      <w:r>
        <w:t xml:space="preserve">Ответчик не вправе ссылаться на недостаточность бюджетного финансирования или несвоевременное доведение средств. По ч. 9 ст. 34 Закона № 44-ФЗ сторона освобождается от уплаты неустойки, только если докажет, что просрочка произошла вследствие непреодолимой силы или по вине другой стороны. По п. 3 ст. 401 ГК РФ отсутствие у должника необходимых денежных средств к таким обстоятельствам не относится. Вины истца в просрочке оплаты нет: товар принят без замечаний.</w:t>
      </w:r>
    </w:p>
    <w:p>
      <w:pPr>
        <w:spacing w:after="120" w:line="276"/>
        <w:ind w:firstLine="709"/>
        <w:jc w:val="both"/>
      </w:pPr>
      <w:r>
        <w:t xml:space="preserve">Оснований для снижения пени по ст. 333 ГК РФ нет. Её размер прямо установлен законом, а просрочка допущена по каждой из трёх партий. Бремя доказывания явной несоразмерности лежит на ответчике (п. 73 постановления Пленума ВС РФ от 24.03.2016 № 7). Кроме того, неустойка за просрочку денежного обязательства не может быть снижена ниже суммы, рассчитанной по ставке п. 1 ст. 395 ГК РФ (п. 6 ст. 395 ГК РФ).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претензию с требованием уплатить пени по приведённому расчёту (почтовый идентификатор / номер письма [номер]). Претензия оставлена без удовлетворения [без ответа]. Тридцатидневный срок, установленный ч. 5 ст. 4 АПК РФ, истёк.</w:t>
      </w:r>
    </w:p>
    <w:p>
      <w:pPr>
        <w:spacing w:after="120" w:line="276"/>
        <w:ind w:firstLine="709"/>
        <w:jc w:val="both"/>
      </w:pPr>
      <w:r>
        <w:t xml:space="preserve">Спор подсуден арбитражному суду по месту нахождения ответчика (ст. 35 АПК РФ). Ответчик — бюджетное учреждение, от уплаты государственной пошлины не освобождён. Расходы истца по госпошлине подлежат возмещению по ст. 110 АПК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330, 332, 401 ГК РФ, ч. 5, 9, 13.1 ст. 34 Закона № 44-ФЗ, ст. 4, 35, 110,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Государственного бюджетного учреждения здравоохранения «[наименование]» в пользу ООО «[наименование]» пени за просрочку оплаты по контракту № [номер] от [дата] в размере [174 546,00]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расходы по уплате государственной пошлины в размере [13 727]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уплату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ответчику копии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Копия контракта № [номер] от [дата] со спецификацией.</w:t>
      </w:r>
    </w:p>
    <w:p>
      <w:pPr>
        <w:spacing w:after="120" w:line="276"/>
        <w:ind w:left="360" w:hanging="360"/>
        <w:jc w:val="both"/>
      </w:pPr>
      <w:r>
        <w:t xml:space="preserve">4. Документы о приёмке № [номер], № [номер], № [номер], выгруженные из ЕИС, с отметками о подписании сторонами.</w:t>
      </w:r>
    </w:p>
    <w:p>
      <w:pPr>
        <w:spacing w:after="120" w:line="276"/>
        <w:ind w:left="360" w:hanging="360"/>
        <w:jc w:val="both"/>
      </w:pPr>
      <w:r>
        <w:t xml:space="preserve">5. Копии платёжных поручений № [номер], № [номер], № [номер] либо выписка по счёту.</w:t>
      </w:r>
    </w:p>
    <w:p>
      <w:pPr>
        <w:spacing w:after="120" w:line="276"/>
        <w:ind w:left="360" w:hanging="360"/>
        <w:jc w:val="both"/>
      </w:pPr>
      <w:r>
        <w:t xml:space="preserve">6. Сведения ЦБ РФ о ключевой ставке на даты оплаты.</w:t>
      </w:r>
    </w:p>
    <w:p>
      <w:pPr>
        <w:spacing w:after="120" w:line="276"/>
        <w:ind w:left="360" w:hanging="360"/>
        <w:jc w:val="both"/>
      </w:pPr>
      <w:r>
        <w:t xml:space="preserve">7. Копия претензии от [дата] и доказательства её направления.</w:t>
      </w:r>
    </w:p>
    <w:p>
      <w:pPr>
        <w:spacing w:after="120" w:line="276"/>
        <w:ind w:left="360" w:hanging="360"/>
        <w:jc w:val="both"/>
      </w:pPr>
      <w:r>
        <w:t xml:space="preserve">8.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9. Документ, подтверждающий полномочия лица, подписавшего иск (доверенность, решение о назначении директора).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2026-10-16T22:46:44.846Z</dcterms:created>
  <dcterms:modified xsi:type="dcterms:W3CDTF">2026-10-16T22:46:44.846Z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