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ОГРН ______, ИНН ______</w:t>
      </w:r>
    </w:p>
    <w:p>
      <w:pPr>
        <w:spacing w:after="0"/>
        <w:jc w:val="right"/>
      </w:pPr>
      <w:r>
        <w:t xml:space="preserve">адрес: [адрес из ЕГРЮЛ]</w:t>
      </w:r>
    </w:p>
    <w:p>
      <w:pPr>
        <w:spacing w:after="0"/>
        <w:jc w:val="right"/>
      </w:pPr>
      <w:r>
        <w:t xml:space="preserve">тел. ______, e-mail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ОГРН ______, ИНН ______</w:t>
      </w:r>
    </w:p>
    <w:p>
      <w:pPr>
        <w:spacing w:after="0"/>
        <w:jc w:val="right"/>
      </w:pPr>
      <w:r>
        <w:t xml:space="preserve">адрес: [адрес из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2 786 400 руб.</w:t>
      </w:r>
    </w:p>
    <w:p>
      <w:pPr>
        <w:spacing w:after="0"/>
        <w:jc w:val="right"/>
      </w:pPr>
      <w:r>
        <w:t xml:space="preserve">Госпошлина: 108 592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упущенной выгоды и реального ущерба, причинённых созданием арендодателем препятствий в пользовании арендованным помещением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Между Истцом (арендатор) и Ответчиком (арендодатель) заключён договор аренды нежилого помещения от [дата] № [номер] (далее — Договор). Договор зарегистрирован [дата], номер регистрации [номер]. По Договору Истцу передано помещение площадью [__] кв. м по адресу: [адрес], кадастровый номер [номер] (далее — Помещение), для размещения предприятия общественного питания (кафе). Помещение передано по акту от [дата].</w:t>
      </w:r>
    </w:p>
    <w:p>
      <w:pPr>
        <w:spacing w:after="120" w:line="276"/>
        <w:ind w:firstLine="709"/>
        <w:jc w:val="both"/>
      </w:pPr>
      <w:r>
        <w:t xml:space="preserve">Пунктом [__] Договора арендодатель обязался обеспечить арендатору круглосуточный беспрепятственный доступ в Помещение и бесперебойное электроснабжение.</w:t>
      </w:r>
    </w:p>
    <w:p>
      <w:pPr>
        <w:spacing w:after="120" w:line="276"/>
        <w:ind w:firstLine="709"/>
        <w:jc w:val="both"/>
      </w:pPr>
      <w:r>
        <w:t xml:space="preserve">С [дата начала аренды] Истец непрерывно ведёт в Помещении деятельность кафе (ОКВЭД 56.10). Задолженности по арендной плате у Истца нет: плата за весь период, в том числе за март–май 2026 года, внесена полностью, что подтверждается платёжными поручениями (приложение [__]) и актом сверки от [дата].</w:t>
      </w:r>
    </w:p>
    <w:p>
      <w:pPr>
        <w:spacing w:after="120" w:line="276"/>
        <w:ind w:firstLine="709"/>
        <w:jc w:val="both"/>
      </w:pPr>
      <w:r>
        <w:t xml:space="preserve">10 марта 2026 года Ответчик заменил замок входной двери Помещения и отключил электроснабжение Помещения. Основание Ответчик указал в письме от [дата] № [__]: несогласие Истца с повышением арендной платы, которое Ответчик предложил письмом от [дата]. Договор не предоставляет арендодателю права ограничивать доступ в Помещение, а изменение арендной платы по пункту [__] Договора допускается только по соглашению сторон.</w:t>
      </w:r>
    </w:p>
    <w:p>
      <w:pPr>
        <w:spacing w:after="120" w:line="276"/>
        <w:ind w:firstLine="709"/>
        <w:jc w:val="both"/>
      </w:pPr>
      <w:r>
        <w:t xml:space="preserve">Факт ограничения доступа зафиксирован: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актом от 10 марта 2026 года, подписанным работниками Истца и представителем управляющей компании здания;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протоколом осмотра доказательств, составленным нотариусом [ФИО] [дата], реестровый № [__];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талоном-уведомлением о принятии сообщения в [отдел полиции] от [дата] КУСП № [__].</w:t>
      </w:r>
    </w:p>
    <w:p>
      <w:pPr>
        <w:spacing w:after="120" w:line="276"/>
        <w:ind w:firstLine="709"/>
        <w:jc w:val="both"/>
      </w:pPr>
      <w:r>
        <w:t xml:space="preserve">Истец требовал восстановить доступ письмами от 10, 13 и 20 марта 2026 года (приложения [__]). Ответчик восстановил доступ и электроснабжение только 9 мая 2026 года, что подтверждается актом от 9 мая 2026 года.</w:t>
      </w:r>
    </w:p>
    <w:p>
      <w:pPr>
        <w:spacing w:after="120" w:line="276"/>
        <w:ind w:firstLine="709"/>
        <w:jc w:val="both"/>
      </w:pPr>
      <w:r>
        <w:t xml:space="preserve">Таким образом, с 10 марта по 8 мая 2026 года включительно (60 дней) Истец был лишён возможности пользоваться Помещением и вести в нём деятельность.</w:t>
      </w:r>
    </w:p>
    <w:p>
      <w:pPr>
        <w:spacing w:after="160" w:before="200"/>
        <w:jc w:val="center"/>
      </w:pPr>
      <w:r>
        <w:rPr>
          <w:b/>
          <w:bCs/>
        </w:rPr>
        <w:t xml:space="preserve">2. Нарушение обязательства Ответчиком</w:t>
      </w:r>
    </w:p>
    <w:p>
      <w:pPr>
        <w:spacing w:after="120" w:line="276"/>
        <w:ind w:firstLine="709"/>
        <w:jc w:val="both"/>
      </w:pPr>
      <w:r>
        <w:t xml:space="preserve">По договору аренды арендодатель обязуется предоставить арендатору имущество за плату во временное владение и пользование (ст. 606 ГК РФ) в состоянии, соответствующем условиям договора и назначению имущества (п. 1 ст. 611 ГК РФ). Эта обязанность действует в течение всего срока аренды и включает обязанность не создавать препятствий пользованию имуществом. Создание арендодателем таких препятствий подп. 1 ст. 620 ГК РФ называет нарушением, дающим арендатору право требовать досрочного расторжения договора.</w:t>
      </w:r>
    </w:p>
    <w:p>
      <w:pPr>
        <w:spacing w:after="120" w:line="276"/>
        <w:ind w:firstLine="709"/>
        <w:jc w:val="both"/>
      </w:pPr>
      <w:r>
        <w:t xml:space="preserve">Замена замков и отключение электроснабжения нарушают ст. 606, п. 1 ст. 611 ГК РФ и пункт [__] Договора. Должник обязан возместить кредитору убытки, причинённые неисполнением или ненадлежащим исполнением обязательства (п. 1 ст. 393 ГК РФ). Вина Ответчика предполагается (п. 2 ст. 401 ГК РФ); кроме того, Ответчик действовал умышленно и сам указал причину своих действий.</w:t>
      </w:r>
    </w:p>
    <w:p>
      <w:pPr>
        <w:spacing w:after="160" w:before="200"/>
        <w:jc w:val="center"/>
      </w:pPr>
      <w:r>
        <w:rPr>
          <w:b/>
          <w:bCs/>
        </w:rPr>
        <w:t xml:space="preserve">3. Размер упущенной выгоды</w:t>
      </w:r>
    </w:p>
    <w:p>
      <w:pPr>
        <w:spacing w:after="120" w:line="276"/>
        <w:ind w:firstLine="709"/>
        <w:jc w:val="both"/>
      </w:pPr>
      <w:r>
        <w:t xml:space="preserve">Упущенной выгодой являются неполученные доходы, которые лицо получило бы при обычных условиях гражданского оборота, если бы его право не было нарушено (п. 2 ст. 15 ГК РФ), с учётом разумных расходов на их получение (абз. 3 п. 2 Постановления Пленума ВС РФ от 24.03.2016 № 7, далее — Пленум № 7).</w:t>
      </w:r>
    </w:p>
    <w:p>
      <w:pPr>
        <w:spacing w:after="120" w:line="276"/>
        <w:ind w:firstLine="709"/>
        <w:jc w:val="both"/>
      </w:pPr>
      <w:r>
        <w:t xml:space="preserve">Для случая, когда из-за нарушения должника кредитор не мог вести в своём магазине обычную деятельность, Пленум № 7 прямо допускает расчёт упущенной выгоды «на основе данных о прибыли истца за аналогичный период времени до нарушения ответчиком обязательства и/или после того, как это нарушение было прекращено» (абз. 3 п. 3).</w:t>
      </w:r>
    </w:p>
    <w:p>
      <w:pPr>
        <w:spacing w:after="120" w:line="276"/>
        <w:ind w:firstLine="709"/>
        <w:jc w:val="both"/>
      </w:pPr>
      <w:r>
        <w:t xml:space="preserve">Истец рассчитал упущенную выгоду по фактическим данным о доходах и расходах кафе за тот же период 2025 года (с 10 марта по 8 мая 2025 года), то есть с учётом сезонности. Из дохода вычтены только расходы, которые Истец понёс бы для его получения и которые не понёс в период нарушения.</w:t>
      </w:r>
    </w:p>
    <w:p>
      <w:pPr>
        <w:spacing w:after="120" w:line="276"/>
        <w:ind w:firstLine="709"/>
        <w:jc w:val="both"/>
      </w:pPr>
      <w:r>
        <w:t xml:space="preserve">| № | Показатель за 10.03–08.05.2025 | Сумма, руб. | Источник |</w:t>
      </w:r>
    </w:p>
    <w:p>
      <w:pPr>
        <w:spacing w:after="120" w:line="276"/>
        <w:ind w:firstLine="709"/>
        <w:jc w:val="both"/>
      </w:pPr>
      <w:r>
        <w:t xml:space="preserve">|---|---|---|---|</w:t>
      </w:r>
    </w:p>
    <w:p>
      <w:pPr>
        <w:spacing w:after="120" w:line="276"/>
        <w:ind w:firstLine="709"/>
        <w:jc w:val="both"/>
      </w:pPr>
      <w:r>
        <w:t xml:space="preserve">| 1 | Выручка кафе (без НДС) | 4 200 000 | Фискальные отчёты ККТ, выписка эквайринга |</w:t>
      </w:r>
    </w:p>
    <w:p>
      <w:pPr>
        <w:spacing w:after="120" w:line="276"/>
        <w:ind w:firstLine="709"/>
        <w:jc w:val="both"/>
      </w:pPr>
      <w:r>
        <w:t xml:space="preserve">| 2 | Себестоимость продуктов и напитков | 1 344 000 | Оборотно-сальдовая ведомость по счёту [__], калькуляционные карты |</w:t>
      </w:r>
    </w:p>
    <w:p>
      <w:pPr>
        <w:spacing w:after="120" w:line="276"/>
        <w:ind w:firstLine="709"/>
        <w:jc w:val="both"/>
      </w:pPr>
      <w:r>
        <w:t xml:space="preserve">| 3 | Переменная часть оплаты персонала (3 % от выручки) с взносами | 126 000 | Положение о премировании, расчётные ведомости |</w:t>
      </w:r>
    </w:p>
    <w:p>
      <w:pPr>
        <w:spacing w:after="120" w:line="276"/>
        <w:ind w:firstLine="709"/>
        <w:jc w:val="both"/>
      </w:pPr>
      <w:r>
        <w:t xml:space="preserve">| 4 | Комиссия эквайринга (1,8 % безналичной выручки 3 780 000 руб.) | 68 040 | Выписка банка-эквайрера |</w:t>
      </w:r>
    </w:p>
    <w:p>
      <w:pPr>
        <w:spacing w:after="120" w:line="276"/>
        <w:ind w:firstLine="709"/>
        <w:jc w:val="both"/>
      </w:pPr>
      <w:r>
        <w:t xml:space="preserve">| 5 | Электроэнергия, газ, вода сверх платы за период простоя | 61 960 | Счета ресурсоснабжающих организаций за 2025 и 2026 годы |</w:t>
      </w:r>
    </w:p>
    <w:p>
      <w:pPr>
        <w:spacing w:after="120" w:line="276"/>
        <w:ind w:firstLine="709"/>
        <w:jc w:val="both"/>
      </w:pPr>
      <w:r>
        <w:t xml:space="preserve">| 6 | </w:t>
      </w:r>
      <w:r>
        <w:rPr>
          <w:b/>
          <w:bCs/>
        </w:rPr>
        <w:t xml:space="preserve">Итого сбережённые расходы (стр. 2–5)</w:t>
      </w:r>
      <w:r>
        <w:t xml:space="preserve"> | </w:t>
      </w:r>
      <w:r>
        <w:rPr>
          <w:b/>
          <w:bCs/>
        </w:rPr>
        <w:t xml:space="preserve">1 600 000</w:t>
      </w:r>
      <w:r>
        <w:t xml:space="preserve"> | |</w:t>
      </w:r>
    </w:p>
    <w:p>
      <w:pPr>
        <w:spacing w:after="120" w:line="276"/>
        <w:ind w:firstLine="709"/>
        <w:jc w:val="both"/>
      </w:pPr>
      <w:r>
        <w:t xml:space="preserve">| 7 | </w:t>
      </w:r>
      <w:r>
        <w:rPr>
          <w:b/>
          <w:bCs/>
        </w:rPr>
        <w:t xml:space="preserve">Упущенная выгода (стр. 1 − стр. 6)</w:t>
      </w:r>
      <w:r>
        <w:t xml:space="preserve"> | </w:t>
      </w:r>
      <w:r>
        <w:rPr>
          <w:b/>
          <w:bCs/>
        </w:rPr>
        <w:t xml:space="preserve">2 600 000</w:t>
      </w:r>
      <w:r>
        <w:t xml:space="preserve"> | |</w:t>
      </w:r>
    </w:p>
    <w:p>
      <w:pPr>
        <w:spacing w:after="120" w:line="276"/>
        <w:ind w:firstLine="709"/>
        <w:jc w:val="both"/>
      </w:pPr>
      <w:r>
        <w:t xml:space="preserve">По мнению Истца, не подлежат вычету расходы, которые Истец понёс и в период нарушения: арендная плата, оклады работников (оплата простоя), амортизация оборудования. Они не являются затратами, не понесёнными в результате нарушения, а значит, не уменьшают доход по смыслу правила о вычете таких затрат (Определение СКЭС ВС РФ от 06.02.2023 № 305-ЭС22-15150).</w:t>
      </w:r>
    </w:p>
    <w:p>
      <w:pPr>
        <w:spacing w:after="120" w:line="276"/>
        <w:ind w:firstLine="709"/>
        <w:jc w:val="both"/>
      </w:pPr>
      <w:r>
        <w:t xml:space="preserve">Расчёт не завышен, что подтверждают контрольные данные: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выручка за январь–февраль 2026 года составила [3 950 000] руб. против [3 610 000] руб. за январь–февраль 2025 года (рост [9,4] %);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после восстановления доступа выручка за период с 9 мая по 7 июля 2026 года составила [4 610 000] руб. против [4 230 000] руб. за тот же период 2025 года (рост [9] %).</w:t>
      </w:r>
    </w:p>
    <w:p>
      <w:pPr>
        <w:spacing w:after="120" w:line="276"/>
        <w:ind w:firstLine="709"/>
        <w:jc w:val="both"/>
      </w:pPr>
      <w:r>
        <w:t xml:space="preserve">Таким образом, при обычном ходе событий доход за спорный период был бы не ниже дохода за тот же период 2025 года. Индексация на темп роста в расчёт не включена.</w:t>
      </w:r>
    </w:p>
    <w:p>
      <w:pPr>
        <w:spacing w:after="160" w:before="200"/>
        <w:jc w:val="center"/>
      </w:pPr>
      <w:r>
        <w:rPr>
          <w:b/>
          <w:bCs/>
        </w:rPr>
        <w:t xml:space="preserve">4. Меры и приготовления к получению дохода</w:t>
      </w:r>
    </w:p>
    <w:p>
      <w:pPr>
        <w:spacing w:after="120" w:line="276"/>
        <w:ind w:firstLine="709"/>
        <w:jc w:val="both"/>
      </w:pPr>
      <w:r>
        <w:t xml:space="preserve">При определении упущенной выгоды учитываются предпринятые кредитором для её получения меры и сделанные с этой целью приготовления (п. 4 ст. 393 ГК РФ). На момент ограничения доступа Истец: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закупил продукты для работы кафе на сумму [__] руб. по товарным накладным от [даты];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имел подтверждённые и предоплаченные заказы на проведение мероприятий в Помещении в период с 10 марта по 8 мая 2026 года на сумму [__] руб. (договоры с [контрагенты], приложения [__]); заказы отменены или перенесены, предоплата возвращена (платёжные поручения [__]);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имел утверждённый график работы персонала на март–апрель 2026 года.</w:t>
      </w:r>
    </w:p>
    <w:p>
      <w:pPr>
        <w:spacing w:after="120" w:line="276"/>
        <w:ind w:firstLine="709"/>
        <w:jc w:val="both"/>
      </w:pPr>
      <w:r>
        <w:t xml:space="preserve">Эти обстоятельства приведены как доказательство реальности получения дохода. Отдельно к расчёту упущенной выгоды суммы заказов не прибавляются, так как доход от мероприятий учтён в выручке базового периода.</w:t>
      </w:r>
    </w:p>
    <w:p>
      <w:pPr>
        <w:spacing w:after="160" w:before="200"/>
        <w:jc w:val="center"/>
      </w:pPr>
      <w:r>
        <w:rPr>
          <w:b/>
          <w:bCs/>
        </w:rPr>
        <w:t xml:space="preserve">5. Причинная связь и разумные меры Истца</w:t>
      </w:r>
    </w:p>
    <w:p>
      <w:pPr>
        <w:spacing w:after="120" w:line="276"/>
        <w:ind w:firstLine="709"/>
        <w:jc w:val="both"/>
      </w:pPr>
      <w:r>
        <w:t xml:space="preserve">Если возникновение убытков является обычным последствием допущенного должником нарушения, причинная связь между нарушением и доказанными убытками предполагается (абз. 2 п. 5 Пленума № 7). Невозможность получать выручку в кафе, в которое не пускают ни работников, ни посетителей и в котором нет электроснабжения, — обычное и неизбежное последствие действий Ответчика. Иных причин прекращения деятельности не было: до 10 марта и после 9 мая 2026 года кафе работало в обычном режиме, а выручка росла.</w:t>
      </w:r>
    </w:p>
    <w:p>
      <w:pPr>
        <w:spacing w:after="120" w:line="276"/>
        <w:ind w:firstLine="709"/>
        <w:jc w:val="both"/>
      </w:pPr>
      <w:r>
        <w:t xml:space="preserve">Истец принимал разумные меры к уменьшению убытков (ст. 404 ГК РФ): трижды письменно требовал восстановить доступ, обращался в полицию, [перенёс часть заказов на даты после восстановления доступа]. Перенос кафе в другое помещение на неопределённый срок ограничения доступа был невозможен: для этого требовались новое помещение с подключённой мощностью, перенос оборудования и санитарные процедуры.</w:t>
      </w:r>
    </w:p>
    <w:p>
      <w:pPr>
        <w:spacing w:after="160" w:before="200"/>
        <w:jc w:val="center"/>
      </w:pPr>
      <w:r>
        <w:rPr>
          <w:b/>
          <w:bCs/>
        </w:rPr>
        <w:t xml:space="preserve">6. Стандарт доказывания размера упущенной выгоды</w:t>
      </w:r>
    </w:p>
    <w:p>
      <w:pPr>
        <w:spacing w:after="120" w:line="276"/>
        <w:ind w:firstLine="709"/>
        <w:jc w:val="both"/>
      </w:pPr>
      <w:r>
        <w:t xml:space="preserve">Размер убытков должен быть установлен с разумной степенью достоверности. Суд не может отказать в иске только потому, что размер не может быть установлен с такой степенью достоверности; в этом случае размер определяется судом с учётом всех обстоятельств дела исходя из принципов справедливости и соразмерности (п. 5 ст. 393 ГК РФ, п. 4 Пленума № 7). Расчёт упущенной выгоды, как правило, является приблизительным и носит вероятностный характер, что само по себе не может служить основанием для отказа в иске (абз. 2 п. 14 Постановления Пленума ВС РФ от 23.06.2015 № 25).</w:t>
      </w:r>
    </w:p>
    <w:p>
      <w:pPr>
        <w:spacing w:after="120" w:line="276"/>
        <w:ind w:firstLine="709"/>
        <w:jc w:val="both"/>
      </w:pPr>
      <w:r>
        <w:t xml:space="preserve">Судебная коллегия по экономическим спорам ВС РФ указала, что отказ в иске о возмещении упущенной выгоды не может быть основан на том, что истец не представил доказательства получения дохода «не с вероятностью, а с безусловностью», а размер упущенной выгоды определяется исходя из дохода за вычетом затрат, не понесённых в результате нарушения (Определение от 06.02.2023 № 305-ЭС22-15150 по делу № А40-135696/2021).</w:t>
      </w:r>
    </w:p>
    <w:p>
      <w:pPr>
        <w:spacing w:after="120" w:line="276"/>
        <w:ind w:firstLine="709"/>
        <w:jc w:val="both"/>
      </w:pPr>
      <w:r>
        <w:t xml:space="preserve">Допустим расчёт, основанный на учёте среднего дохода потерпевшего при обычных условиях оборота, при условии, что он подтверждён фактическими данными о деятельности истца (Определение СКЭС ВС РФ от 28.11.2025 № 305-ЭС25-8321 по делу № А40-29144/2024). Расчёт Истца основан именно на фактических данных учёта за сопоставимый период, а не на плановых показателях.</w:t>
      </w:r>
    </w:p>
    <w:p>
      <w:pPr>
        <w:spacing w:after="120" w:line="276"/>
        <w:ind w:firstLine="709"/>
        <w:jc w:val="both"/>
      </w:pPr>
      <w:r>
        <w:t xml:space="preserve">При доказывании упущенной выгоды учитывается, какая деятельность велась до нарушения, и из вероятного дохода вычитаются расходы на его извлечение (Определение СКЭС ВС РФ от 17.04.2026 № 307-ЭС25-12827 по делу № А56-94333/2023). Расчёт Истца соответствует этому подходу.</w:t>
      </w:r>
    </w:p>
    <w:p>
      <w:pPr>
        <w:spacing w:after="160" w:before="200"/>
        <w:jc w:val="center"/>
      </w:pPr>
      <w:r>
        <w:rPr>
          <w:b/>
          <w:bCs/>
        </w:rPr>
        <w:t xml:space="preserve">7. Реальный ущерб</w:t>
      </w:r>
    </w:p>
    <w:p>
      <w:pPr>
        <w:spacing w:after="120" w:line="276"/>
        <w:ind w:firstLine="709"/>
        <w:jc w:val="both"/>
      </w:pPr>
      <w:r>
        <w:t xml:space="preserve">Вследствие отключения электроснабжения холодильного оборудования испортились продукты, находившиеся в Помещении. Продукты списаны актами от [дата] № [__] на сумму 186 400 руб. по себестоимости приобретения (товарные накладные — приложение [__]). Утрата имущества является реальным ущербом (п. 2 ст. 15 ГК РФ).</w:t>
      </w:r>
    </w:p>
    <w:p>
      <w:pPr>
        <w:spacing w:after="120" w:line="276"/>
        <w:ind w:firstLine="709"/>
        <w:jc w:val="both"/>
      </w:pPr>
      <w:r>
        <w:t xml:space="preserve">Эти продукты не входят в себестоимость, вычтенную в разделе 3: там учтена себестоимость продукции базового периода 2025 года.</w:t>
      </w:r>
    </w:p>
    <w:p>
      <w:pPr>
        <w:spacing w:after="160" w:before="200"/>
        <w:jc w:val="center"/>
      </w:pPr>
      <w:r>
        <w:rPr>
          <w:b/>
          <w:bCs/>
        </w:rPr>
        <w:t xml:space="preserve">8. Неустойка по Договору</w:t>
      </w:r>
    </w:p>
    <w:p>
      <w:pPr>
        <w:spacing w:after="120" w:line="276"/>
        <w:ind w:firstLine="709"/>
        <w:jc w:val="both"/>
      </w:pPr>
      <w:r>
        <w:t xml:space="preserve">[Вариант 1, если неустойки нет] Договор не предусматривает неустойки за нарушение арендодателем обязанности обеспечить доступ в Помещение.</w:t>
      </w:r>
    </w:p>
    <w:p>
      <w:pPr>
        <w:spacing w:after="120" w:line="276"/>
        <w:ind w:firstLine="709"/>
        <w:jc w:val="both"/>
      </w:pPr>
      <w:r>
        <w:t xml:space="preserve">[Вариант 2, если неустойка есть] Пунктом [__] Договора предусмотрена неустойка в размере [__]. Убытки возмещаются в части, не покрытой неустойкой (п. 1 ст. 394 ГК РФ). Неустойка в сумме [__] руб. уплачена Ответчиком [дата] / взыскивается в настоящем иске, и размер убытков уменьшен на эту сумму.</w:t>
      </w:r>
    </w:p>
    <w:p>
      <w:pPr>
        <w:spacing w:after="160" w:before="200"/>
        <w:jc w:val="center"/>
      </w:pPr>
      <w:r>
        <w:rPr>
          <w:b/>
          <w:bCs/>
        </w:rPr>
        <w:t xml:space="preserve">9. Досудебный порядок</w:t>
      </w:r>
    </w:p>
    <w:p>
      <w:pPr>
        <w:spacing w:after="120" w:line="276"/>
        <w:ind w:firstLine="709"/>
        <w:jc w:val="both"/>
      </w:pPr>
      <w:r>
        <w:t xml:space="preserve">Претензия с расчётом убытков направлена Ответчику [дата] по адресу из ЕГРЮЛ и по электронной почте, указанной в Договоре (почтовый идентификатор [__]). Ответчик [не ответил / отказал письмом от [дата]]. Срок, предусмотренный ч. 5 ст. 4 АПК РФ [и пунктом [__] Договора], истёк.</w:t>
      </w:r>
    </w:p>
    <w:p>
      <w:pPr>
        <w:spacing w:after="160" w:before="200"/>
        <w:jc w:val="center"/>
      </w:pPr>
      <w:r>
        <w:rPr>
          <w:b/>
          <w:bCs/>
        </w:rPr>
        <w:t xml:space="preserve">10. Подсудность и экспертиза</w:t>
      </w:r>
    </w:p>
    <w:p>
      <w:pPr>
        <w:spacing w:after="120" w:line="276"/>
        <w:ind w:firstLine="709"/>
        <w:jc w:val="both"/>
      </w:pPr>
      <w:r>
        <w:t xml:space="preserve">Иск подаётся по адресу Ответчика (ст. 35 АПК РФ) [либо: в соответствии с пунктом [__] Договора о договорной подсудности (ст. 37 АПК РФ)].</w:t>
      </w:r>
    </w:p>
    <w:p>
      <w:pPr>
        <w:spacing w:after="120" w:line="276"/>
        <w:ind w:firstLine="709"/>
        <w:jc w:val="both"/>
      </w:pPr>
      <w:r>
        <w:t xml:space="preserve">Если Ответчик оспорит размер упущенной выгоды, Истец заявит ходатайство о назначении судебной бухгалтерской экспертизы (ст. 82 АПК РФ) с вопросами о доходе, который Истец получил бы в период с 10 марта по 8 мая 2026 года при обычных условиях, и о расходах, сбережённых вследствие прекращения деятельности.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15, 393, 401, 606, 611 ГК РФ, ст. 4, 125, 126 АПК РФ,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ООО «[Ответчик]» в пользу ООО «[Истец]» упущенную выгоду в размере 2 600 000 руб.</w:t>
      </w:r>
    </w:p>
    <w:p>
      <w:pPr>
        <w:spacing w:after="120" w:line="276"/>
        <w:ind w:left="360" w:hanging="360"/>
        <w:jc w:val="both"/>
      </w:pPr>
      <w:r>
        <w:t xml:space="preserve">2. Взыскать с ООО «[Ответчик]» в пользу ООО «[Истец]» реальный ущерб в размере 186 400 руб.</w:t>
      </w:r>
    </w:p>
    <w:p>
      <w:pPr>
        <w:spacing w:after="120" w:line="276"/>
        <w:ind w:left="360" w:hanging="360"/>
        <w:jc w:val="both"/>
      </w:pPr>
      <w:r>
        <w:t xml:space="preserve">3. Взыскать с ООО «[Ответчик]» в пользу ООО «[Истец]» расходы по уплате государственной пошлины в размере 108 592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Платёжное поручение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 о направлении Ответчику копии иска и приложений.</w:t>
      </w:r>
    </w:p>
    <w:p>
      <w:pPr>
        <w:spacing w:after="120" w:line="276"/>
        <w:ind w:left="360" w:hanging="360"/>
        <w:jc w:val="both"/>
      </w:pPr>
      <w:r>
        <w:t xml:space="preserve">3. Выписки из ЕГРЮЛ на Истца и Ответчика.</w:t>
      </w:r>
    </w:p>
    <w:p>
      <w:pPr>
        <w:spacing w:after="120" w:line="276"/>
        <w:ind w:left="360" w:hanging="360"/>
        <w:jc w:val="both"/>
      </w:pPr>
      <w:r>
        <w:t xml:space="preserve">4. Договор аренды от [дата] № [__] с отметкой о регистрации, акт приёма-передачи.</w:t>
      </w:r>
    </w:p>
    <w:p>
      <w:pPr>
        <w:spacing w:after="120" w:line="276"/>
        <w:ind w:left="360" w:hanging="360"/>
        <w:jc w:val="both"/>
      </w:pPr>
      <w:r>
        <w:t xml:space="preserve">5. Платёжные поручения об оплате аренды, акт сверки от [дата].</w:t>
      </w:r>
    </w:p>
    <w:p>
      <w:pPr>
        <w:spacing w:after="120" w:line="276"/>
        <w:ind w:left="360" w:hanging="360"/>
        <w:jc w:val="both"/>
      </w:pPr>
      <w:r>
        <w:t xml:space="preserve">6. Письмо Ответчика от [дата] № [__] о повышении арендной платы и о причинах ограничения доступа.</w:t>
      </w:r>
    </w:p>
    <w:p>
      <w:pPr>
        <w:spacing w:after="120" w:line="276"/>
        <w:ind w:left="360" w:hanging="360"/>
        <w:jc w:val="both"/>
      </w:pPr>
      <w:r>
        <w:t xml:space="preserve">7. Акты от 10 марта и 9 мая 2026 года, протокол нотариального осмотра, талон-уведомление КУСП.</w:t>
      </w:r>
    </w:p>
    <w:p>
      <w:pPr>
        <w:spacing w:after="120" w:line="276"/>
        <w:ind w:left="360" w:hanging="360"/>
        <w:jc w:val="both"/>
      </w:pPr>
      <w:r>
        <w:t xml:space="preserve">8. Требования Истца о восстановлении доступа от 10, 13, 20 марта 2026 года с доказательствами отправки.</w:t>
      </w:r>
    </w:p>
    <w:p>
      <w:pPr>
        <w:spacing w:after="120" w:line="276"/>
        <w:ind w:left="360" w:hanging="360"/>
        <w:jc w:val="both"/>
      </w:pPr>
      <w:r>
        <w:t xml:space="preserve">9. Фискальные отчёты ККТ и выписки эквайринга за периоды: 10.03–08.05.2025, январь–февраль 2025 и 2026 годов, 09.05–07.07.2025 и 2026 годов.</w:t>
      </w:r>
    </w:p>
    <w:p>
      <w:pPr>
        <w:spacing w:after="120" w:line="276"/>
        <w:ind w:left="360" w:hanging="360"/>
        <w:jc w:val="both"/>
      </w:pPr>
      <w:r>
        <w:t xml:space="preserve">10. Оборотно-сальдовые ведомости, калькуляционные карты, положение о премировании, расчётные ведомости, счета ресурсоснабжающих организаций.</w:t>
      </w:r>
    </w:p>
    <w:p>
      <w:pPr>
        <w:spacing w:after="120" w:line="276"/>
        <w:ind w:left="360" w:hanging="360"/>
        <w:jc w:val="both"/>
      </w:pPr>
      <w:r>
        <w:t xml:space="preserve">11. Расчёт упущенной выгоды [и заключение специалиста от [дата] № [__], если есть].</w:t>
      </w:r>
    </w:p>
    <w:p>
      <w:pPr>
        <w:spacing w:after="120" w:line="276"/>
        <w:ind w:left="360" w:hanging="360"/>
        <w:jc w:val="both"/>
      </w:pPr>
      <w:r>
        <w:t xml:space="preserve">12. Договоры на проведение мероприятий, документы об их отмене и возврате предоплаты.</w:t>
      </w:r>
    </w:p>
    <w:p>
      <w:pPr>
        <w:spacing w:after="120" w:line="276"/>
        <w:ind w:left="360" w:hanging="360"/>
        <w:jc w:val="both"/>
      </w:pPr>
      <w:r>
        <w:t xml:space="preserve">13. Акты списания продуктов, товарные накладные.</w:t>
      </w:r>
    </w:p>
    <w:p>
      <w:pPr>
        <w:spacing w:after="120" w:line="276"/>
        <w:ind w:left="360" w:hanging="360"/>
        <w:jc w:val="both"/>
      </w:pPr>
      <w:r>
        <w:t xml:space="preserve">14. Претензия с доказательствами отправки, ответ Ответчика (при наличии).</w:t>
      </w:r>
    </w:p>
    <w:p>
      <w:pPr>
        <w:spacing w:after="120" w:line="276"/>
        <w:ind w:left="360" w:hanging="360"/>
        <w:jc w:val="both"/>
      </w:pPr>
      <w:r>
        <w:t xml:space="preserve">15.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Генеральный директор ООО «[Истец]» ____________ / [ФИО] /</w:t>
      </w:r>
    </w:p>
    <w:p>
      <w:pPr>
        <w:spacing w:after="120" w:line="276"/>
        <w:ind w:firstLine="709"/>
        <w:jc w:val="both"/>
      </w:pPr>
      <w:r>
        <w:t xml:space="preserve">«___» __________ 2026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2026-10-18T04:52:19.720Z</dcterms:created>
  <dcterms:modified xsi:type="dcterms:W3CDTF">2026-10-18T04:52:19.721Z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