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заявителя:</w:t>
      </w:r>
      <w:r>
        <w:t xml:space="preserve"> [ФИО], доверенность от [дата] № 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Главное управление МЧС России по [наименование субъекта РФ]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50 000 руб. (заявление) и 30 000 руб. (ходатайство о приостановлении)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недействительными пунктов предписания органа федерального государственного пожарного надзора и о приостановлении их действия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ООО «[наименование]» (далее — Общество) использует [вид объекта: складской комплекс / торговое здание] по адресу: [адрес] (далее — объект).</w:t>
      </w:r>
    </w:p>
    <w:p>
      <w:pPr>
        <w:spacing w:after="120" w:line="276"/>
        <w:ind w:firstLine="709"/>
        <w:jc w:val="both"/>
      </w:pPr>
      <w:r>
        <w:t xml:space="preserve">На основании решения [должность, ФИО] от [дата] № ___ в отношении Общества проведена [вид контрольного (надзорного) мероприятия: внеплановая выездная проверка] (учётный номер в едином реестре контрольных (надзорных) мероприятий № ______). Основание проведения — [основание из ч. 1 ст. 57 Федерального закона от 31.07.2020 № 248-ФЗ (далее — Закон № 248-ФЗ)]. По итогам составлен акт от [дата] № ___.</w:t>
      </w:r>
    </w:p>
    <w:p>
      <w:pPr>
        <w:spacing w:after="120" w:line="276"/>
        <w:ind w:firstLine="709"/>
        <w:jc w:val="both"/>
      </w:pPr>
      <w:r>
        <w:t xml:space="preserve">[Наименование органа] выдало Обществу предписание об устранении выявленных нарушений обязательных требований пожарной безопасности от [дата] № ___ (далее — Предписание). Общество получило его [дата] [способ: через личный кабинет на Едином портале госуслуг / нарочно].</w:t>
      </w:r>
    </w:p>
    <w:p>
      <w:pPr>
        <w:spacing w:after="120" w:line="276"/>
        <w:ind w:firstLine="709"/>
        <w:jc w:val="both"/>
      </w:pPr>
      <w:r>
        <w:t xml:space="preserve">Общество оспаривает пункты [№], [№] и [№] Предписания. Остальные пункты [исполнены / исполняются] и предметом спора не являются.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Соблюдение обязательного досудебного порядка</w:t>
      </w:r>
    </w:p>
    <w:p>
      <w:pPr>
        <w:spacing w:after="120" w:line="276"/>
        <w:ind w:firstLine="709"/>
        <w:jc w:val="both"/>
      </w:pPr>
      <w:r>
        <w:t xml:space="preserve">В соответствии с ч. 2 ст. 39 Закона № 248-ФЗ Общество обжаловало Предписание. Жалоба подана через Единый портал государственных и муниципальных услуг [дата], то есть в течение десяти рабочих дней с момента получения Предписания (ч. 1, 6 ст. 40 Закона № 248-ФЗ). В жалобе Общество ходатайствовало о приостановлении исполнения Предписания (ч. 9 ст. 40).</w:t>
      </w:r>
    </w:p>
    <w:p>
      <w:pPr>
        <w:spacing w:after="120" w:line="276"/>
        <w:ind w:firstLine="709"/>
        <w:jc w:val="both"/>
      </w:pPr>
      <w:r>
        <w:t xml:space="preserve">Решением [должность, наименование органа] от [дата] № ___ в приостановлении отказано. Решением от [дата] № ___, размещённым в личном кабинете [дата], жалоба оставлена без удовлетворения. Досудебный порядок соблюдён.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Предписание в оспариваемой части не соответствует закону</w:t>
      </w:r>
    </w:p>
    <w:p>
      <w:pPr>
        <w:spacing w:after="120" w:line="276"/>
        <w:ind w:firstLine="709"/>
        <w:jc w:val="both"/>
      </w:pPr>
      <w:r>
        <w:t xml:space="preserve">Согласно п. 1 ч. 2 ст. 90 Закона № 248-ФЗ предписание выдаётся «с указанием разумных сроков» устранения нарушений. По ч. 2 ст. 90.1 по каждому нарушению предписание должно содержать: описание нарушения «с указанием конкретных структурных единиц нормативного правового акта»; срок устранения «с указанием конкретной даты»; перечень рекомендованных мероприятий; перечень рекомендуемых сведений, подтверждающих устранение. Выдача необоснованных предписаний не допускается (ч. 5 ст. 7 Закона № 248-ФЗ).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3.1. Пункт [№]: не указано, какое требование нарушено и что нужно сделать</w:t>
      </w:r>
    </w:p>
    <w:p>
      <w:pPr>
        <w:spacing w:after="120" w:line="276"/>
        <w:ind w:firstLine="709"/>
        <w:jc w:val="both"/>
      </w:pPr>
      <w:r>
        <w:t xml:space="preserve">Пункт [№] обязывает Общество «[дословная цитата пункта, например: обеспечить соответствие путей эвакуации требованиям пожарной безопасности]». Пункт не называет статью, часть или пункт нормативного правового акта, которые нарушены. Он не описывает, в чём выражено нарушение (какой путь эвакуации, какой параметр, какое значение), и не содержит перечня мероприятий и сведений, подтверждающих устранение. Это прямо противоречит п. 1, 3 и 4 ч. 2 ст. 90.1 Закона № 248-ФЗ.</w:t>
      </w:r>
    </w:p>
    <w:p>
      <w:pPr>
        <w:spacing w:after="120" w:line="276"/>
        <w:ind w:firstLine="709"/>
        <w:jc w:val="both"/>
      </w:pPr>
      <w:r>
        <w:t xml:space="preserve">Такой пункт неисполним. Общество не может определить, какие действия от него требуются и чем доказать исполнение. Орган при оценке исполнения (ст. 95 Закона № 248-ФЗ) получает возможность произвольно признать пункт неисполненным. Это создаёт для Общества риск ответственности по ч. 12 ст. 19.5 КоАП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3.2. Пункт [№]: требование основано на своде правил, применяемом на добровольной основе</w:t>
      </w:r>
    </w:p>
    <w:p>
      <w:pPr>
        <w:spacing w:after="120" w:line="276"/>
        <w:ind w:firstLine="709"/>
        <w:jc w:val="both"/>
      </w:pPr>
      <w:r>
        <w:t xml:space="preserve">Пункт [№] требует [содержание: привести ширину эвакуационного выхода / расстояние / иной параметр] в соответствие с п. [___] свода правил СП [___] «[название]».</w:t>
      </w:r>
    </w:p>
    <w:p>
      <w:pPr>
        <w:spacing w:after="120" w:line="276"/>
        <w:ind w:firstLine="709"/>
        <w:jc w:val="both"/>
      </w:pPr>
      <w:r>
        <w:t xml:space="preserve">Свод правил не является нормативным правовым актом. Это нормативный документ по пожарной безопасности, применяемый на добровольной основе (п. 1 ч. 3 ст. 4 Федерального закона от 22.07.2008 № 123-ФЗ «Технический регламент о требованиях пожарной безопасности»). По ч. 1 ст. 6 Закона № 123-ФЗ пожарная безопасность объекта считается обеспеченной при выполнении требований этого закона и одного из условий, перечисленных в ней, в том числе если «пожарный риск не превышает допустимых значений». Верховный Суд РФ подтвердил, что пожарная безопасность объекта помимо выполнения требований сводов правил «может быть обеспечена соблюдением любого из условий, перечисленных в части 1 статьи 6» Закона № 123-ФЗ (решения ВС РФ от 29.05.2024 № АКПИ24-230 и от 13.01.2025 № АКПИ24-993).</w:t>
      </w:r>
    </w:p>
    <w:p>
      <w:pPr>
        <w:spacing w:after="120" w:line="276"/>
        <w:ind w:firstLine="709"/>
        <w:jc w:val="both"/>
      </w:pPr>
      <w:r>
        <w:t xml:space="preserve">Для объекта выполнен расчёт пожарного риска [реквизиты: дата, организация]. Расчётные величины пожарного риска не превышают допустимых значений. Расчёт был представлен инспектору [дата] [и приложен к жалобе], но в Предписании не оценён.</w:t>
      </w:r>
    </w:p>
    <w:p>
      <w:pPr>
        <w:spacing w:after="120" w:line="276"/>
        <w:ind w:firstLine="709"/>
        <w:jc w:val="both"/>
      </w:pPr>
      <w:r>
        <w:t xml:space="preserve">Следовательно, пункт [№] основан на оценке соблюдения документа, который для Общества не является обязательным требованием. Это грубое нарушение по п. 6 ч. 2 ст. 91 Закона № 248-ФЗ. Решение, принятое с таким нарушением, подлежит отмене судом (ч. 1 ст. 91). Сам факт грубого нарушения достаточен для вывода о незаконности решения (абз. 4 п. 19 постановления Пленума Верховного Суда РФ от 28.06.2022 № 21).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3.3. Пункт [№]: срок устранения заведомо неисполним</w:t>
      </w:r>
    </w:p>
    <w:p>
      <w:pPr>
        <w:spacing w:after="120" w:line="276"/>
        <w:ind w:firstLine="709"/>
        <w:jc w:val="both"/>
      </w:pPr>
      <w:r>
        <w:t xml:space="preserve">Пункт [№] обязывает [содержание: заменить систему пожарной сигнализации и оповещения] в срок до [дата], то есть за [количество] дней.</w:t>
      </w:r>
    </w:p>
    <w:p>
      <w:pPr>
        <w:spacing w:after="120" w:line="276"/>
        <w:ind w:firstLine="709"/>
        <w:jc w:val="both"/>
      </w:pPr>
      <w:r>
        <w:t xml:space="preserve">Объективно этот срок выполнить невозможно: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проектирование системы занимает не менее [___] рабочих дней (письмо [проектной организации] от [дата] № ___);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срок поставки оборудования по договору от [дата] № ___ — [___] дней с даты оплаты (письмо поставщика от [дата] № ___);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монтаж и пусконаладочные работы — [___] дней (график производства работ).</w:t>
      </w:r>
    </w:p>
    <w:p>
      <w:pPr>
        <w:spacing w:after="120" w:line="276"/>
        <w:ind w:firstLine="709"/>
        <w:jc w:val="both"/>
      </w:pPr>
      <w:r>
        <w:t xml:space="preserve">Минимальный реальный срок — до [дата]. Общество приступило к исполнению: [заключён договор, внесена предоплата, получено техническое задание].</w:t>
      </w:r>
    </w:p>
    <w:p>
      <w:pPr>
        <w:spacing w:after="120" w:line="276"/>
        <w:ind w:firstLine="709"/>
        <w:jc w:val="both"/>
      </w:pPr>
      <w:r>
        <w:t xml:space="preserve">Срок, который нельзя соблюсти при добросовестном поведении, не является «разумным» по п. 1 ч. 2 ст. 90 Закона № 248-ФЗ. Он чрезмерно обременяет Общество и не нужен для достижения законной цели (п. 17 постановления Пленума ВС РФ № 21). [Вариант: Ходатайство Общества об отсрочке исполнения по ст. 93 Закона № 248-ФЗ от [дата] отклонено решением от [дата] № ___ без оценки представленных документов.]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Нарушение прав Общества и бремя доказывания</w:t>
      </w:r>
    </w:p>
    <w:p>
      <w:pPr>
        <w:spacing w:after="120" w:line="276"/>
        <w:ind w:firstLine="709"/>
        <w:jc w:val="both"/>
      </w:pPr>
      <w:r>
        <w:t xml:space="preserve">Оспариваемые пункты незаконно возлагают на Общество обязанности в сфере предпринимательской деятельности (ч. 1 ст. 198 АПК РФ). При неисполнении в срок Общество может быть привлечено к ответственности по ч. 12 ст. 19.5 КоАП РФ (штраф для юридических лиц от 70 000 до 80 000 руб.). По истечении срока орган вправе провести внеплановое мероприятие (п. 5 ч. 1 ст. 57 Закона № 248-ФЗ) и выдать новое предписание (ч. 2 ст. 95).</w:t>
      </w:r>
    </w:p>
    <w:p>
      <w:pPr>
        <w:spacing w:after="120" w:line="276"/>
        <w:ind w:firstLine="709"/>
        <w:jc w:val="both"/>
      </w:pPr>
      <w:r>
        <w:t xml:space="preserve">Обязанность доказать соответствие Предписания закону, наличие полномочий и обстоятельства, послужившие основанием для его выдачи, лежит на органе, который его выдал (ч. 5 ст. 200 АПК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Срок обращения в суд</w:t>
      </w:r>
    </w:p>
    <w:p>
      <w:pPr>
        <w:spacing w:after="120" w:line="276"/>
        <w:ind w:firstLine="709"/>
        <w:jc w:val="both"/>
      </w:pPr>
      <w:r>
        <w:t xml:space="preserve">Предписание получено [дата], решение по жалобе — [дата]. Заявление подано в пределах трёх месяцев (ч. 4 ст. 198 АПК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Ходатайство о приостановлении действия пунктов [№], [№], [№] Предписания</w:t>
      </w:r>
    </w:p>
    <w:p>
      <w:pPr>
        <w:spacing w:after="120" w:line="276"/>
        <w:ind w:firstLine="709"/>
        <w:jc w:val="both"/>
      </w:pPr>
      <w:r>
        <w:t xml:space="preserve">Срок исполнения пунктов [№] истекает [дата], то есть до рассмотрения дела по существу (ч. 1 ст. 200 АПК РФ). Если меру не принять, Общество будет вынуждено [выполнить работы стоимостью ______ руб. по пункту, законность которого оспаривается / приостановить использование части объекта]. Кроме того, оно подвергнется риску административного штрафа и повторных проверок. Такой ущерб будет значительным, а восстановить положение после признания пунктов недействительными будет невозможно (ч. 2 ст. 90 АПК РФ).</w:t>
      </w:r>
    </w:p>
    <w:p>
      <w:pPr>
        <w:spacing w:after="120" w:line="276"/>
        <w:ind w:firstLine="709"/>
        <w:jc w:val="both"/>
      </w:pPr>
      <w:r>
        <w:t xml:space="preserve">Мера точечная: она касается только оспариваемых пунктов и связана с предметом спора (п. 14 постановления Пленума ВС РФ от 01.06.2023 № 15). Приостановление не создаёт угрозы людям и не нарушает публичные интересы. Пожарный риск на объекте в допустимых значениях. На период спора Общество приняло временные меры: [перечень, например: дополнительный пост охраны, проверка работоспособности существующей системы, внеплановый инструктаж персонала]. Для принятия обеспечительной меры достаточно обосновать возможность наступления последствий из ч. 2 ст. 90 АПК РФ (п. 15 постановления Пленума № 15).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90, 91, 197–201 АПК РФ, ст. 7, 39, 90, 90.1, 91 Закона № 248-ФЗ,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недействительными пункты [№], [№] и [№] предписания [наименование органа] от [дата] № ___ об устранении выявленных нарушений обязательных требований пожарной безопасности как не соответствующие Федеральному закону от 31.07.2020 № 248-ФЗ и Федеральному закону от 22.07.2008 № 123-ФЗ.</w:t>
      </w:r>
    </w:p>
    <w:p>
      <w:pPr>
        <w:spacing w:after="120" w:line="276"/>
        <w:ind w:left="360" w:hanging="360"/>
        <w:jc w:val="both"/>
      </w:pPr>
      <w:r>
        <w:t xml:space="preserve">2. Обязать [наименование органа] устранить допущенные нарушения прав и законных интересов ООО «[наименование]».</w:t>
      </w:r>
    </w:p>
    <w:p>
      <w:pPr>
        <w:spacing w:after="120" w:line="276"/>
        <w:ind w:left="360" w:hanging="360"/>
        <w:jc w:val="both"/>
      </w:pPr>
      <w:r>
        <w:t xml:space="preserve">3. До вступления в законную силу судебного акта по делу приостановить действие пунктов [№], [№] и [№] указанного предписания (ч. 3 ст. 199 АПК РФ).</w:t>
      </w:r>
    </w:p>
    <w:p>
      <w:pPr>
        <w:spacing w:after="120" w:line="276"/>
        <w:ind w:left="360" w:hanging="360"/>
        <w:jc w:val="both"/>
      </w:pPr>
      <w:r>
        <w:t xml:space="preserve">4. Истребовать у [наименование органа] материалы контрольного (надзорного) мероприятия: решение о его проведении, сведения о согласовании с органом прокуратуры, акт, протоколы контрольных (надзорных) действий, фото- и видеоматериалы (ч. 6 ст. 200 АПК РФ).</w:t>
      </w:r>
    </w:p>
    <w:p>
      <w:pPr>
        <w:spacing w:after="120" w:line="276"/>
        <w:ind w:left="360" w:hanging="360"/>
        <w:jc w:val="both"/>
      </w:pPr>
      <w:r>
        <w:t xml:space="preserve">5. Взыскать с [наименование органа] в пользу ООО «[наименование]» расходы по уплате государственной пошлины.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 направлении копии заявления и приложений заинтересованному лицу.</w:t>
      </w:r>
    </w:p>
    <w:p>
      <w:pPr>
        <w:spacing w:after="120" w:line="276"/>
        <w:ind w:left="360" w:hanging="360"/>
        <w:jc w:val="both"/>
      </w:pPr>
      <w:r>
        <w:t xml:space="preserve">2. Платёжные поручения об уплате государственной пошлины: 50 000 руб. и 30 000 руб.</w:t>
      </w:r>
    </w:p>
    <w:p>
      <w:pPr>
        <w:spacing w:after="120" w:line="276"/>
        <w:ind w:left="360" w:hanging="360"/>
        <w:jc w:val="both"/>
      </w:pPr>
      <w:r>
        <w:t xml:space="preserve">3. Копия Предписания от [дата] № ___ и документ о дате его получения.</w:t>
      </w:r>
    </w:p>
    <w:p>
      <w:pPr>
        <w:spacing w:after="120" w:line="276"/>
        <w:ind w:left="360" w:hanging="360"/>
        <w:jc w:val="both"/>
      </w:pPr>
      <w:r>
        <w:t xml:space="preserve">4. Копия акта контрольного (надзорного) мероприятия от [дата] № ___.</w:t>
      </w:r>
    </w:p>
    <w:p>
      <w:pPr>
        <w:spacing w:after="120" w:line="276"/>
        <w:ind w:left="360" w:hanging="360"/>
        <w:jc w:val="both"/>
      </w:pPr>
      <w:r>
        <w:t xml:space="preserve">5. Копия жалобы от [дата], решения по ходатайству о приостановлении и решения по жалобе.</w:t>
      </w:r>
    </w:p>
    <w:p>
      <w:pPr>
        <w:spacing w:after="120" w:line="276"/>
        <w:ind w:left="360" w:hanging="360"/>
        <w:jc w:val="both"/>
      </w:pPr>
      <w:r>
        <w:t xml:space="preserve">6. Расчёт пожарного риска от [дата].</w:t>
      </w:r>
    </w:p>
    <w:p>
      <w:pPr>
        <w:spacing w:after="120" w:line="276"/>
        <w:ind w:left="360" w:hanging="360"/>
        <w:jc w:val="both"/>
      </w:pPr>
      <w:r>
        <w:t xml:space="preserve">7. Документы о сроках работ: письма проектной организации и поставщика, договоры, график.</w:t>
      </w:r>
    </w:p>
    <w:p>
      <w:pPr>
        <w:spacing w:after="120" w:line="276"/>
        <w:ind w:left="360" w:hanging="360"/>
        <w:jc w:val="both"/>
      </w:pPr>
      <w:r>
        <w:t xml:space="preserve">8. Документы о временных мерах на период спора.</w:t>
      </w:r>
    </w:p>
    <w:p>
      <w:pPr>
        <w:spacing w:after="120" w:line="276"/>
        <w:ind w:left="360" w:hanging="360"/>
        <w:jc w:val="both"/>
      </w:pPr>
      <w:r>
        <w:t xml:space="preserve">9. Выписки из ЕГРЮЛ в отношении заявителя и заинтересованного лица.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 и копия диплома о высшем юридическом образовании.</w:t>
      </w:r>
    </w:p>
    <w:p>
      <w:pPr>
        <w:spacing w:after="120" w:line="276"/>
        <w:ind w:firstLine="709"/>
        <w:jc w:val="both"/>
      </w:pPr>
      <w:r>
        <w:t xml:space="preserve">[Должность], ООО «[наименование]»</w:t>
      </w:r>
    </w:p>
    <w:p>
      <w:pPr>
        <w:spacing w:after="120" w:line="276"/>
        <w:ind w:firstLine="709"/>
        <w:jc w:val="both"/>
      </w:pPr>
      <w:r>
        <w:t xml:space="preserve">_______________ / [ФИО] /</w:t>
      </w:r>
    </w:p>
    <w:p>
      <w:pPr>
        <w:spacing w:after="120" w:line="276"/>
        <w:ind w:firstLine="709"/>
        <w:jc w:val="both"/>
      </w:pPr>
      <w:r>
        <w:t xml:space="preserve">«___» __________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2026-10-18T05:11:16.331Z</dcterms:created>
  <dcterms:modified xsi:type="dcterms:W3CDTF">2026-10-18T05:11:16.331Z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