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[А__-_____/20__]</w:t>
      </w:r>
    </w:p>
    <w:p>
      <w:pPr>
        <w:spacing w:after="0"/>
        <w:jc w:val="right"/>
      </w:pPr>
      <w:r>
        <w:t xml:space="preserve">о несостоятельности (банкротстве) ООО «[наименование должника]»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 (залоговый кредитор):</w:t>
      </w:r>
      <w:r>
        <w:t xml:space="preserve"> [АО «Банк ______»]</w:t>
      </w:r>
    </w:p>
    <w:p>
      <w:pPr>
        <w:spacing w:after="0"/>
        <w:jc w:val="right"/>
      </w:pPr>
      <w:r>
        <w:t xml:space="preserve">ИНН ______, ОГРН ______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представитель: [ФИО], доверенность от ______ № ______</w:t>
      </w:r>
    </w:p>
    <w:p>
      <w:pPr>
        <w:spacing w:after="0"/>
        <w:jc w:val="right"/>
      </w:pPr>
      <w:r>
        <w:t xml:space="preserve">тел.: ______, e-mail: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Конкурсный управляющий:</w:t>
      </w:r>
      <w:r>
        <w:t xml:space="preserve"> [ФИО]</w:t>
      </w:r>
    </w:p>
    <w:p>
      <w:pPr>
        <w:spacing w:after="0"/>
        <w:jc w:val="right"/>
      </w:pPr>
      <w:r>
        <w:t xml:space="preserve">адрес для корреспонденции: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Должник:</w:t>
      </w:r>
      <w:r>
        <w:t xml:space="preserve"> ООО «[наименование должника]»</w:t>
      </w:r>
    </w:p>
    <w:p>
      <w:pPr>
        <w:spacing w:after="0"/>
        <w:jc w:val="right"/>
      </w:pPr>
      <w:r>
        <w:t xml:space="preserve">ИНН ______, ОГРН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Иные лица, заявившие возражения:</w:t>
      </w:r>
      <w:r>
        <w:t xml:space="preserve"> [наименования кредиторов, голосовавших за единый лот]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Государственная пошлина: [сумма]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разрешении разногласий с конкурсным управляющим по начальной продажной цене, порядку и условиям проведения торгов по реализации предмета залога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Статус заявителя и предмет залога</w:t>
      </w:r>
    </w:p>
    <w:p>
      <w:pPr>
        <w:spacing w:after="120" w:line="276"/>
        <w:ind w:firstLine="709"/>
        <w:jc w:val="both"/>
      </w:pPr>
      <w:r>
        <w:t xml:space="preserve">Решением Арбитражного суда [наименование] от [дата] по делу № [___] ООО «[должник]» (далее — должник) признано банкротом, открыто конкурсное производство, конкурсным управляющим утверждён [ФИО] (далее — управляющий).</w:t>
      </w:r>
    </w:p>
    <w:p>
      <w:pPr>
        <w:spacing w:after="120" w:line="276"/>
        <w:ind w:firstLine="709"/>
        <w:jc w:val="both"/>
      </w:pPr>
      <w:r>
        <w:t xml:space="preserve">Определением суда от [дата] требование заявителя в размере [сумма] руб., в том числе основной долг [сумма] руб. и проценты [сумма] руб., по кредитному договору от [дата] № [___] включено в третью очередь реестра требований кредиторов как обеспеченное залогом имущества должника по договору об ипотеке от [дата] № [___] (далее — предмет залога):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нежилое здание (склад), кадастровый № ______, площадь ______ кв. м, адрес: [адрес];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земельный участок под зданием, кадастровый № ______, площадь ______ кв. м.</w:t>
      </w:r>
    </w:p>
    <w:p>
      <w:pPr>
        <w:spacing w:after="120" w:line="276"/>
        <w:ind w:firstLine="709"/>
        <w:jc w:val="both"/>
      </w:pPr>
      <w:r>
        <w:t xml:space="preserve">Требование предъявлено [дата], то есть до закрытия реестра (п. 1 ст. 142 Федерального закона от 26.10.2002 № 127-ФЗ «О несостоятельности (банкротстве)», далее — Закон о банкротстве). Поэтому специальные права залогового кредитора у заявителя сохраняются (п. 4 постановления Пленума ВАС РФ от 23.07.2009 № 58, далее — Постановление № 58).</w:t>
      </w:r>
    </w:p>
    <w:p>
      <w:pPr>
        <w:spacing w:after="120" w:line="276"/>
        <w:ind w:firstLine="709"/>
        <w:jc w:val="both"/>
      </w:pPr>
      <w:r>
        <w:t xml:space="preserve">Рыночная стоимость предмета залога по отчёту оценщика, привлечённого управляющим, от [дата] № [___] составляет [120 000 000] руб. Сведения об отчёте включены в ЕФРСБ [дата], сообщение № [___] (п. 1 ст. 130, абз. 2 п. 2 ст. 131 Закона о банкротстве).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Существо разногласий</w:t>
      </w:r>
    </w:p>
    <w:p>
      <w:pPr>
        <w:spacing w:after="120" w:line="276"/>
        <w:ind w:firstLine="709"/>
        <w:jc w:val="both"/>
      </w:pPr>
      <w:r>
        <w:t xml:space="preserve">[Дата] заявитель направил управляющему условия продажи предмета залога (письмо № [___], получено [дата]): отдельный лот, начальная цена [120 000 000] руб., открытый аукцион с шагом 5%, организатор торгов — управляющий, публичное предложение с ценой отсечения, условия обеспечения сохранности. Проект положения прилагается.</w:t>
      </w:r>
    </w:p>
    <w:p>
      <w:pPr>
        <w:spacing w:after="120" w:line="276"/>
        <w:ind w:firstLine="709"/>
        <w:jc w:val="both"/>
      </w:pPr>
      <w:r>
        <w:t xml:space="preserve">Управляющий сведения в ЕФРСБ не включил. Письмом от [дата] № [___] он сообщил, что будет продавать предмет залога </w:t>
      </w:r>
      <w:r>
        <w:rPr>
          <w:b/>
          <w:bCs/>
        </w:rPr>
        <w:t xml:space="preserve">единым лотом</w:t>
      </w:r>
      <w:r>
        <w:t xml:space="preserve"> с незаложенным имуществом должника — [складским оборудованием, стеллажами и погрузчиками] рыночной стоимостью [18 000 000] руб. — через специализированную организацию ООО «[___]» с вознаграждением </w:t>
      </w:r>
      <w:r>
        <w:rPr>
          <w:b/>
          <w:bCs/>
        </w:rPr>
        <w:t xml:space="preserve">3% от цены продажи</w:t>
      </w:r>
      <w:r>
        <w:t xml:space="preserve">. Собрание кредиторов от [дата] утвердило такое положение.</w:t>
      </w:r>
    </w:p>
    <w:p>
      <w:pPr>
        <w:spacing w:after="120" w:line="276"/>
        <w:ind w:firstLine="709"/>
        <w:jc w:val="both"/>
      </w:pPr>
      <w:r>
        <w:t xml:space="preserve">Заявитель согласия на продажу предмета залога в составе единого лота не давал. Письмом от [дата] № [___] он прямо выразил несогласие.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Право определять условия продажи принадлежит залоговому кредитору</w:t>
      </w:r>
    </w:p>
    <w:p>
      <w:pPr>
        <w:spacing w:after="120" w:line="276"/>
        <w:ind w:firstLine="709"/>
        <w:jc w:val="both"/>
      </w:pPr>
      <w:r>
        <w:t xml:space="preserve">Начальная продажная цена предмета залога, порядок и условия проведения торгов, порядок и условия обеспечения сохранности определяются конкурсным кредитором, требования которого обеспечены залогом (абз. 2 п. 4 ст. 138, п. 6 ст. 18.1 Закона о банкротстве). Управляющий включает эти сведения в ЕФРСБ не позднее чем за 15 дней до начала торгов (абз. 2 п. 4 ст. 138).</w:t>
      </w:r>
    </w:p>
    <w:p>
      <w:pPr>
        <w:spacing w:after="120" w:line="276"/>
        <w:ind w:firstLine="709"/>
        <w:jc w:val="both"/>
      </w:pPr>
      <w:r>
        <w:t xml:space="preserve">Собрание кредиторов не вправе определять порядок и условия продажи заложенного имущества (абз. 2 п. 9 Постановления № 58). Решение собрания от [дата] в части предмета залога вынесено за пределами его компетенции.</w:t>
      </w:r>
    </w:p>
    <w:p>
      <w:pPr>
        <w:spacing w:after="120" w:line="276"/>
        <w:ind w:firstLine="709"/>
        <w:jc w:val="both"/>
      </w:pPr>
      <w:r>
        <w:t xml:space="preserve">Разногласия между залоговым кредитором и управляющим по порядку и условиям торгов разрешает суд, рассматривающий дело о банкротстве (абз. 3 и 4 п. 4 ст. 138 Закона о банкротстве), по правилам ст. 60 Закона (п. 9 Постановления № 58).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Продажа единым лотом невозможна без согласия заявителя</w:t>
      </w:r>
    </w:p>
    <w:p>
      <w:pPr>
        <w:spacing w:after="120" w:line="276"/>
        <w:ind w:firstLine="709"/>
        <w:jc w:val="both"/>
      </w:pPr>
      <w:r>
        <w:t xml:space="preserve">Если реализация предмета залога осуществляется совместно с продажей иного имущества должника, порядок и условия такой продажи не могут быть установлены без согласия в письменной форме залогового кредитора (абз. 3 п. 4 ст. 138 Закона о банкротстве).</w:t>
      </w:r>
    </w:p>
    <w:p>
      <w:pPr>
        <w:spacing w:after="120" w:line="276"/>
        <w:ind w:firstLine="709"/>
        <w:jc w:val="both"/>
      </w:pPr>
      <w:r>
        <w:t xml:space="preserve">Судебная коллегия по экономическим спорам ВС РФ указала: продажа заложенного имущества в составе единого лота с незаложенным возможна только с согласия залогового кредитора и только при условии выделения его доли в выручке. Отступление допустимо лишь при явно недобросовестном уклонении залогодержателя от согласия. Вывод оценщика о большей стоимости единого лота сам по себе не основание преодолеть позицию залогодержателя (определение от 20.11.2017 № 305-ЭС16-10852).</w:t>
      </w:r>
    </w:p>
    <w:p>
      <w:pPr>
        <w:spacing w:after="120" w:line="276"/>
        <w:ind w:firstLine="709"/>
        <w:jc w:val="both"/>
      </w:pPr>
      <w:r>
        <w:t xml:space="preserve">Недобросовестности в позиции заявителя нет. Отказ экономически обоснован: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здание с участком и складское оборудование рассчитаны на разных покупателей. Оборудование демонтируется и продаётся отдельно, а покупателю склада оно может быть не нужно. Единый лот сужает круг покупателей и затягивает продажу;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 составе единого лота заявитель лишается права оставить предмет залога за собой после несостоявшихся повторных торгов и на этапе публичного предложения (п. 4.1, 4.2 ст. 138 Закона о банкротстве). Об этой технической невозможности также сказано в определении № 305-ЭС16-10852;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управляющий не представил доказательств, что раздельная продажа снизит выручку (ст. 65 АПК РФ; определение СКЭС ВС РФ от 22.10.2014 № 306-ЭС14-60).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Организатор торгов и вознаграждение</w:t>
      </w:r>
    </w:p>
    <w:p>
      <w:pPr>
        <w:spacing w:after="120" w:line="276"/>
        <w:ind w:firstLine="709"/>
        <w:jc w:val="both"/>
      </w:pPr>
      <w:r>
        <w:t xml:space="preserve">Организатором торгов по общему правилу выступает арбитражный управляющий (абз. 2 п. 5 ст. 18.1, абз. 1 п. 8 ст. 110 Закона о банкротстве). Привлечение специализированной организации должно быть обосновано снижением расходов или иным эффектом, недостижимым силами управляющего. Вознаграждение организатора и оператора электронной площадки по общему правилу устанавливается в твёрдой сумме, а процент от цены допустим лишь в исключительных случаях при доказанной зависимости выручки от качества их услуг (определение СКЭС ВС РФ от 20.05.2019 № 308-ЭС19-449).</w:t>
      </w:r>
    </w:p>
    <w:p>
      <w:pPr>
        <w:spacing w:after="120" w:line="276"/>
        <w:ind w:firstLine="709"/>
        <w:jc w:val="both"/>
      </w:pPr>
      <w:r>
        <w:t xml:space="preserve">Расходы на реализацию предмета залога покрываются из выручки от его продажи до расчётов по п. 1 и 2 ст. 138 (п. 6 ст. 138 Закона о банкротстве). При цене [120 000 000] руб. вознаграждение 3% составит [3 600 000] руб. и уменьшит сумму, распределяемую между заявителем и кредиторами первой и второй очереди. Обоснования такого размера управляющий не привёл.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Условия продажи в редакции заявителя</w:t>
      </w:r>
    </w:p>
    <w:p>
      <w:pPr>
        <w:spacing w:after="120" w:line="276"/>
        <w:ind w:firstLine="709"/>
        <w:jc w:val="both"/>
      </w:pPr>
      <w:r>
        <w:t xml:space="preserve">Заявитель просит утвердить следующие условия:</w:t>
      </w:r>
    </w:p>
    <w:p>
      <w:pPr>
        <w:spacing w:after="120" w:line="276"/>
        <w:ind w:left="360" w:hanging="360"/>
        <w:jc w:val="both"/>
      </w:pPr>
      <w:r>
        <w:t xml:space="preserve">1. Предмет залога продаётся отдельным лотом № 1.</w:t>
      </w:r>
    </w:p>
    <w:p>
      <w:pPr>
        <w:spacing w:after="120" w:line="276"/>
        <w:ind w:left="360" w:hanging="360"/>
        <w:jc w:val="both"/>
      </w:pPr>
      <w:r>
        <w:t xml:space="preserve">2. Начальная продажная цена — [120 000 000] руб., равна рыночной стоимости по отчёту от [дата] № [___].</w:t>
      </w:r>
    </w:p>
    <w:p>
      <w:pPr>
        <w:spacing w:after="120" w:line="276"/>
        <w:ind w:left="360" w:hanging="360"/>
        <w:jc w:val="both"/>
      </w:pPr>
      <w:r>
        <w:t xml:space="preserve">3. Торги — открытый аукцион с открытой формой подачи предложений о цене в электронной форме на площадке [наименование оператора]. Шаг аукциона — 5% начальной цены (абз. 2 п. 13 ст. 110).</w:t>
      </w:r>
    </w:p>
    <w:p>
      <w:pPr>
        <w:spacing w:after="120" w:line="276"/>
        <w:ind w:left="360" w:hanging="360"/>
        <w:jc w:val="both"/>
      </w:pPr>
      <w:r>
        <w:t xml:space="preserve">4. Задаток — 10% начальной цены. Срок приёма заявок — не менее 25 рабочих дней со дня опубликования сообщения (п. 8 ст. 110). Сообщение публикуется не позднее чем за 30 дней до торгов (п. 9 ст. 110).</w:t>
      </w:r>
    </w:p>
    <w:p>
      <w:pPr>
        <w:spacing w:after="120" w:line="276"/>
        <w:ind w:left="360" w:hanging="360"/>
        <w:jc w:val="both"/>
      </w:pPr>
      <w:r>
        <w:t xml:space="preserve">5. Организатор торгов — конкурсный управляющий, без отдельного вознаграждения сверх установленного законом. Расходы на оператора площадки — по тарифу в твёрдой сумме.</w:t>
      </w:r>
    </w:p>
    <w:p>
      <w:pPr>
        <w:spacing w:after="120" w:line="276"/>
        <w:ind w:left="360" w:hanging="360"/>
        <w:jc w:val="both"/>
      </w:pPr>
      <w:r>
        <w:t xml:space="preserve">6. Повторные торги — по цене на 10% ниже начальной (п. 18 ст. 110).</w:t>
      </w:r>
    </w:p>
    <w:p>
      <w:pPr>
        <w:spacing w:after="120" w:line="276"/>
        <w:ind w:left="360" w:hanging="360"/>
        <w:jc w:val="both"/>
      </w:pPr>
      <w:r>
        <w:t xml:space="preserve">7. Публичное предложение — с начальной ценой повторных торгов (п. 4 ст. 139). Снижение на [7]% каждые [7] календарных дней. Цена отсечения — [50]% начальной цены публичного предложения.</w:t>
      </w:r>
    </w:p>
    <w:p>
      <w:pPr>
        <w:spacing w:after="120" w:line="276"/>
        <w:ind w:left="360" w:hanging="360"/>
        <w:jc w:val="both"/>
      </w:pPr>
      <w:r>
        <w:t xml:space="preserve">8. Заявитель вправе оставить предмет залога за собой в порядке п. 4.1 и 4.2 ст. 138 с перечислением на специальный банковский счёт должника 20% стоимости (п. 2 ст. 138).</w:t>
      </w:r>
    </w:p>
    <w:p>
      <w:pPr>
        <w:spacing w:after="120" w:line="276"/>
        <w:ind w:left="360" w:hanging="360"/>
        <w:jc w:val="both"/>
      </w:pPr>
      <w:r>
        <w:t xml:space="preserve">9. Сохранность: охрана объекта [организацией ______ по договору с управляющим] за [сумма] руб. в месяц, страхование здания. Расходы покрываются по п. 6 ст. 138.</w:t>
      </w:r>
    </w:p>
    <w:p>
      <w:pPr>
        <w:spacing w:after="120" w:line="276"/>
        <w:ind w:left="360" w:hanging="360"/>
        <w:jc w:val="both"/>
      </w:pPr>
      <w:r>
        <w:t xml:space="preserve">10. Выручка распределяется по п. 2 ст. 138: 80% — заявителю в пределах основного долга и процентов, 15% — на погашение требований первой и второй очереди, остаток — на расходы, названные в абз. 3 п. 2 ст. 138.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 Резервное условие на случай единого лота</w:t>
      </w:r>
    </w:p>
    <w:p>
      <w:pPr>
        <w:spacing w:after="120" w:line="276"/>
        <w:ind w:firstLine="709"/>
        <w:jc w:val="both"/>
      </w:pPr>
      <w:r>
        <w:t xml:space="preserve">Если суд сочтёт продажу единым лотом целесообразной, заявитель просит определить его долю в выручке как отношение начальной цены предмета залога к начальной цене лота (по аналогии с п. 14 Постановления № 58): [120 000 000 / 138 000 000 = 86,96]%. Порядок выделения доли должен быть установлен до торгов (определения СКЭС ВС РФ № 305-ЭС16-10852 и от 21.05.2020 № 305-ЭС18-15073(4)).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8. Обеспечительная мера</w:t>
      </w:r>
    </w:p>
    <w:p>
      <w:pPr>
        <w:spacing w:after="120" w:line="276"/>
        <w:ind w:firstLine="709"/>
        <w:jc w:val="both"/>
      </w:pPr>
      <w:r>
        <w:t xml:space="preserve">Управляющий опубликовал [или: готовит публикацию] сообщение о торгах единым лотом на [дата]. Если торги пройдут до рассмотрения заявления, предмет залога будет продан на условиях, на которые заявитель не соглашался. Восстановить положение без оспаривания торгов будет невозможно. Мера соразмерна: она касается только торгов, в состав которых включён предмет залога (ст. 46 Закона о банкротстве, ст. 90, 91 АПК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абз. 2–4 п. 4 ст. 138, ст. 18.1, 46, 60 Закона о банкротстве, ст. 90, 91, 184, 185, 223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Разрешить разногласия между [АО «Банк ______»] и конкурсным управляющим ООО «[должник]» [ФИО].</w:t>
      </w:r>
    </w:p>
    <w:p>
      <w:pPr>
        <w:spacing w:after="120" w:line="276"/>
        <w:ind w:left="360" w:hanging="360"/>
        <w:jc w:val="both"/>
      </w:pPr>
      <w:r>
        <w:t xml:space="preserve">2. Определить начальную продажную цену предмета залога — здания кадастровый № ______ и земельного участка кадастровый № ______ — в размере [120 000 000] руб.</w:t>
      </w:r>
    </w:p>
    <w:p>
      <w:pPr>
        <w:spacing w:after="120" w:line="276"/>
        <w:ind w:left="360" w:hanging="360"/>
        <w:jc w:val="both"/>
      </w:pPr>
      <w:r>
        <w:t xml:space="preserve">3. Утвердить порядок и условия проведения торгов по реализации предмета залога и порядок обеспечения его сохранности в редакции заявителя (раздел 6 настоящего заявления, проект положения прилагается).</w:t>
      </w:r>
    </w:p>
    <w:p>
      <w:pPr>
        <w:spacing w:after="120" w:line="276"/>
        <w:ind w:left="360" w:hanging="360"/>
        <w:jc w:val="both"/>
      </w:pPr>
      <w:r>
        <w:t xml:space="preserve">4. В случае утверждения продажи единым лотом — определить долю заявителя в выручке от продажи лота в размере [86,96]% с распределением этой доли по п. 2 ст. 138 Закона о банкротстве.</w:t>
      </w:r>
    </w:p>
    <w:p>
      <w:pPr>
        <w:spacing w:after="120" w:line="276"/>
        <w:ind w:left="360" w:hanging="360"/>
        <w:jc w:val="both"/>
      </w:pPr>
      <w:r>
        <w:t xml:space="preserve">5. Принять обеспечительную меру: запретить конкурсному управляющему и организатору торгов проводить торги, в состав лота которых включён предмет залога, до вступления в законную силу определения по настоящему заявлению.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Доказательства направления копий заявления управляющему и [кредиторам].</w:t>
      </w:r>
    </w:p>
    <w:p>
      <w:pPr>
        <w:spacing w:after="120" w:line="276"/>
        <w:ind w:left="360" w:hanging="360"/>
        <w:jc w:val="both"/>
      </w:pPr>
      <w:r>
        <w:t xml:space="preserve">3. Копия определения о включении требования заявителя в реестр от [дата].</w:t>
      </w:r>
    </w:p>
    <w:p>
      <w:pPr>
        <w:spacing w:after="120" w:line="276"/>
        <w:ind w:left="360" w:hanging="360"/>
        <w:jc w:val="both"/>
      </w:pPr>
      <w:r>
        <w:t xml:space="preserve">4. Копия договора об ипотеке и кредитного договора.</w:t>
      </w:r>
    </w:p>
    <w:p>
      <w:pPr>
        <w:spacing w:after="120" w:line="276"/>
        <w:ind w:left="360" w:hanging="360"/>
        <w:jc w:val="both"/>
      </w:pPr>
      <w:r>
        <w:t xml:space="preserve">5. Сообщение ЕФРСБ об отчёте об оценке и копия отчёта от [дата] № [___].</w:t>
      </w:r>
    </w:p>
    <w:p>
      <w:pPr>
        <w:spacing w:after="120" w:line="276"/>
        <w:ind w:left="360" w:hanging="360"/>
        <w:jc w:val="both"/>
      </w:pPr>
      <w:r>
        <w:t xml:space="preserve">6. Письмо заявителя управляющему с условиями продажи и доказательство его получения.</w:t>
      </w:r>
    </w:p>
    <w:p>
      <w:pPr>
        <w:spacing w:after="120" w:line="276"/>
        <w:ind w:left="360" w:hanging="360"/>
        <w:jc w:val="both"/>
      </w:pPr>
      <w:r>
        <w:t xml:space="preserve">7. Ответ управляющего от [дата] № [___].</w:t>
      </w:r>
    </w:p>
    <w:p>
      <w:pPr>
        <w:spacing w:after="120" w:line="276"/>
        <w:ind w:left="360" w:hanging="360"/>
        <w:jc w:val="both"/>
      </w:pPr>
      <w:r>
        <w:t xml:space="preserve">8. Протокол собрания кредиторов от [дата].</w:t>
      </w:r>
    </w:p>
    <w:p>
      <w:pPr>
        <w:spacing w:after="120" w:line="276"/>
        <w:ind w:left="360" w:hanging="360"/>
        <w:jc w:val="both"/>
      </w:pPr>
      <w:r>
        <w:t xml:space="preserve">9. Письмо заявителя о несогласии на единый лот.</w:t>
      </w:r>
    </w:p>
    <w:p>
      <w:pPr>
        <w:spacing w:after="120" w:line="276"/>
        <w:ind w:left="360" w:hanging="360"/>
        <w:jc w:val="both"/>
      </w:pPr>
      <w:r>
        <w:t xml:space="preserve">10. Проект положения о порядке, сроках и условиях продажи предмета залога в редакции заявителя.</w:t>
      </w:r>
    </w:p>
    <w:p>
      <w:pPr>
        <w:spacing w:after="120" w:line="276"/>
        <w:ind w:left="360" w:hanging="360"/>
        <w:jc w:val="both"/>
      </w:pPr>
      <w:r>
        <w:t xml:space="preserve">11. Доверенность представителя.</w:t>
      </w:r>
    </w:p>
    <w:p>
      <w:pPr>
        <w:spacing w:after="0"/>
        <w:jc w:val="right"/>
      </w:pPr>
      <w:r>
        <w:t xml:space="preserve">[Должность] [АО «Банк ______»]</w:t>
      </w:r>
    </w:p>
    <w:p>
      <w:pPr>
        <w:spacing w:after="0"/>
        <w:jc w:val="right"/>
      </w:pPr>
      <w:r>
        <w:t xml:space="preserve">____________ / [ФИО] /</w:t>
      </w:r>
    </w:p>
    <w:p>
      <w:pPr>
        <w:spacing w:after="0"/>
        <w:jc w:val="right"/>
      </w:pPr>
      <w:r>
        <w:t xml:space="preserve">«___» __________ 20__ г.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2026-10-18T16:07:15.375Z</dcterms:created>
  <dcterms:modified xsi:type="dcterms:W3CDTF">2026-10-18T16:07:15.375Z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