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суда]</w:t>
      </w:r>
    </w:p>
    <w:p>
      <w:pPr>
        <w:spacing w:after="0"/>
        <w:jc w:val="right"/>
      </w:pPr>
      <w:r>
        <w:t xml:space="preserve">через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– адвоката [ФИО защитника],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номер в реестре адвокатов [номер],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обвиняемого], [дата рождения] г. р.,</w:t>
      </w:r>
    </w:p>
    <w:p>
      <w:pPr>
        <w:spacing w:after="0"/>
        <w:jc w:val="right"/>
      </w:pPr>
      <w:r>
        <w:t xml:space="preserve">содержащегося в [наименование СИЗО]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№ [номер материала]</w:t>
      </w:r>
    </w:p>
    <w:p>
      <w:pPr>
        <w:spacing w:after="0"/>
        <w:jc w:val="right"/>
      </w:pPr>
      <w:r>
        <w:t xml:space="preserve">Уголовное дело № [номер уголовного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о продлении срока содержания под стражей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районного суда] от [дата] удовлетворено ходатайство следователя [должность, наименование следственного органа] [ФИО следователя] и обвиняемому по ч. 4 ст. 159 УК РФ [ФИО обвиняемого] продлён срок содержания под стражей на 3 месяца 00 суток, а всего до 9 месяцев 00 суток, то есть до [дата].</w:t>
      </w:r>
    </w:p>
    <w:p>
      <w:pPr>
        <w:spacing w:after="120" w:line="276"/>
        <w:ind w:firstLine="709"/>
        <w:jc w:val="both"/>
      </w:pPr>
      <w:r>
        <w:t xml:space="preserve">[ФИО обвиняемого] задержан [дата] в порядке ст. 91, 92 УПК РФ. Постановлением [наименование суда] от [дата] ему избрана мера пресечения в виде заключения под стражу, срок которой продлевался [дата] и [дата].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и необоснованным: выводы суда не соответствуют фактическим обстоятельствам, установленным в заседании, а суд существенно нарушил требования ч. 2 и 8 ст. 109 УПК РФ (п. 1, 2 ст. 389.15, ст. 389.16, 389.17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Ходатайство мотивировано теми же следственными действиями, что и прежнее, причины их невыполнения не указаны</w:t>
      </w:r>
    </w:p>
    <w:p>
      <w:pPr>
        <w:spacing w:after="120" w:line="276"/>
        <w:ind w:firstLine="709"/>
        <w:jc w:val="both"/>
      </w:pPr>
      <w:r>
        <w:t xml:space="preserve">По ч. 8 ст. 109 УПК РФ в постановлении о возбуждении ходатайства излагаются сведения о следственных действиях, произведённых после последнего продления, а если следователь вновь ссылается на действия из предыдущих ходатайств, он указывает причины, по которым они не произведены. Необходимость дальнейшего производства следственных действий не может являться единственным и достаточным основанием продления.</w:t>
      </w:r>
    </w:p>
    <w:p>
      <w:pPr>
        <w:spacing w:after="120" w:line="276"/>
        <w:ind w:firstLine="709"/>
        <w:jc w:val="both"/>
      </w:pPr>
      <w:r>
        <w:t xml:space="preserve">При продлении [дата предыдущего продления] следователь обосновывал необходимость стражи следующими действиями:</w:t>
      </w:r>
    </w:p>
    <w:p>
      <w:pPr>
        <w:spacing w:after="120" w:line="276"/>
        <w:ind w:left="360" w:hanging="360"/>
        <w:jc w:val="both"/>
      </w:pPr>
      <w:r>
        <w:t xml:space="preserve">1. Допросить в качестве свидетелей [количество] лиц – [кратко: сотрудников ООО «[наименование]»].</w:t>
      </w:r>
    </w:p>
    <w:p>
      <w:pPr>
        <w:spacing w:after="120" w:line="276"/>
        <w:ind w:left="360" w:hanging="360"/>
        <w:jc w:val="both"/>
      </w:pPr>
      <w:r>
        <w:t xml:space="preserve">2. Назначить и провести судебную бухгалтерскую экспертизу.</w:t>
      </w:r>
    </w:p>
    <w:p>
      <w:pPr>
        <w:spacing w:after="120" w:line="276"/>
        <w:ind w:left="360" w:hanging="360"/>
        <w:jc w:val="both"/>
      </w:pPr>
      <w:r>
        <w:t xml:space="preserve">3. Истребовать сведения из [кредитных организаций / налогового органа].</w:t>
      </w:r>
    </w:p>
    <w:p>
      <w:pPr>
        <w:spacing w:after="120" w:line="276"/>
        <w:ind w:left="360" w:hanging="360"/>
        <w:jc w:val="both"/>
      </w:pPr>
      <w:r>
        <w:t xml:space="preserve">4. Предъявить обвинение в окончательной редакции и выполнить требования ст. 215–217 УПК РФ.</w:t>
      </w:r>
    </w:p>
    <w:p>
      <w:pPr>
        <w:spacing w:after="120" w:line="276"/>
        <w:ind w:firstLine="709"/>
        <w:jc w:val="both"/>
      </w:pPr>
      <w:r>
        <w:t xml:space="preserve">За прошедшие [3 месяца] из этого перечня выполнено только одно действие: [дата] назначена судебная бухгалтерская экспертиза. Свидетели не допрошены, сведения не истребованы, с участием [ФИО обвиняемого] не проведено ни одного следственного действия. В новом ходатайстве указан тот же перечень, а причины невыполнения не приведены, если не считать общей ссылки на [«большой объём работы»].</w:t>
      </w:r>
    </w:p>
    <w:p>
      <w:pPr>
        <w:spacing w:after="120" w:line="276"/>
        <w:ind w:firstLine="709"/>
        <w:jc w:val="both"/>
      </w:pPr>
      <w:r>
        <w:t xml:space="preserve">Суд эти обстоятельства не проверил и причины не выяснил, хотя согласно п. 22 Постановления Пленума Верховного Суда РФ от 19.12.2013 № 41 неэффективная организация расследования может явиться основанием для отказа в продлении. Ч. 8 ст. 109 УПК РФ обязывает суд оценить эффективность действий следователя, своевременность следственных действий и общую продолжительность досудебного производства. В постановлении такой оценки нет.</w:t>
      </w:r>
    </w:p>
    <w:p>
      <w:pPr>
        <w:spacing w:after="160" w:before="200"/>
        <w:jc w:val="center"/>
      </w:pPr>
      <w:r>
        <w:rPr>
          <w:b/>
          <w:bCs/>
        </w:rPr>
        <w:t xml:space="preserve">2. Суд не мотивировал особую сложность уголовного дела</w:t>
      </w:r>
    </w:p>
    <w:p>
      <w:pPr>
        <w:spacing w:after="120" w:line="276"/>
        <w:ind w:firstLine="709"/>
        <w:jc w:val="both"/>
      </w:pPr>
      <w:r>
        <w:t xml:space="preserve">Преступление, предусмотренное ч. 4 ст. 159 УК РФ, относится к тяжким. По ч. 2 ст. 109 УПК РФ продление стражи свыше 6 месяцев допускается только в случаях особой сложности уголовного дела.</w:t>
      </w:r>
    </w:p>
    <w:p>
      <w:pPr>
        <w:spacing w:after="120" w:line="276"/>
        <w:ind w:firstLine="709"/>
        <w:jc w:val="both"/>
      </w:pPr>
      <w:r>
        <w:t xml:space="preserve">Дело возбуждено [дата] по одному эпизоду в отношении одного обвиняемого, потерпевший один – [наименование], объём материалов – [количество] томов, международные поручения и экспертизы в иностранных учреждениях не требуются. Суд ограничился повтором формулировки следователя об особой сложности без указания, в чём она состоит. Задержки в расследовании вызваны поздним назначением экспертизы, то есть организацией следствия, а не свойствами дела.</w:t>
      </w:r>
    </w:p>
    <w:p>
      <w:pPr>
        <w:spacing w:after="160" w:before="200"/>
        <w:jc w:val="center"/>
      </w:pPr>
      <w:r>
        <w:rPr>
          <w:b/>
          <w:bCs/>
        </w:rPr>
        <w:t xml:space="preserve">3. Мотивировка рисков ст. 97 УПК РФ повторяет первоначальное постановление</w:t>
      </w:r>
    </w:p>
    <w:p>
      <w:pPr>
        <w:spacing w:after="120" w:line="276"/>
        <w:ind w:firstLine="709"/>
        <w:jc w:val="both"/>
      </w:pPr>
      <w:r>
        <w:t xml:space="preserve">Согласно п. 21 Постановления Пленума № 41 при продлении суд проверяет наличие оснований ст. 97 УПК РФ на момент рассмотрения ходатайства, а обстоятельства, на основании которых лицо было заключено под стражу, не всегда достаточны для продления.</w:t>
      </w:r>
    </w:p>
    <w:p>
      <w:pPr>
        <w:spacing w:after="120" w:line="276"/>
        <w:ind w:firstLine="709"/>
        <w:jc w:val="both"/>
      </w:pPr>
      <w:r>
        <w:t xml:space="preserve">Выводы суда о том, что [ФИО обвиняемого] может скрыться и оказать давление на свидетелей, дословно совпадают с текстом постановления от [дата первоначального ареста]. Новых фактов суд не привёл. Между тем: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[ФИО обвиняемого] является гражданином РФ, постоянно проживает по адресу: [адрес] с [год], там же зарегистрирован;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 его иждивении двое несовершеннолетних детей – [год рождения] и [год рождения] г. р.;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он не судим, загранпаспорт [сдан / изъят следствием]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и электронные носители изъяты при обыске [дата], основные свидетели допрошены до ареста;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сведений об угрозах участникам процесса материал не содержит.</w:t>
      </w:r>
    </w:p>
    <w:p>
      <w:pPr>
        <w:spacing w:after="120" w:line="276"/>
        <w:ind w:firstLine="709"/>
        <w:jc w:val="both"/>
      </w:pPr>
      <w:r>
        <w:t xml:space="preserve">Тяжесть обвинения может свидетельствовать о риске побега лишь на первоначальных этапах производства (п. 5 Постановления Пленума № 41), а [ФИО обвиняемого] находится под стражей уже [количество] месяцев.</w:t>
      </w:r>
    </w:p>
    <w:p>
      <w:pPr>
        <w:spacing w:after="160" w:before="200"/>
        <w:jc w:val="center"/>
      </w:pPr>
      <w:r>
        <w:rPr>
          <w:b/>
          <w:bCs/>
        </w:rPr>
        <w:t xml:space="preserve">4. Не учтено состояние здоровья и не обсуждены более мягкие меры</w:t>
      </w:r>
    </w:p>
    <w:p>
      <w:pPr>
        <w:spacing w:after="120" w:line="276"/>
        <w:ind w:firstLine="709"/>
        <w:jc w:val="both"/>
      </w:pPr>
      <w:r>
        <w:t xml:space="preserve">У [ФИО обвиняемого] диагностировано [заболевание], что подтверждается [наименование медицинских документов]. Суд эти документы не оценил.</w:t>
      </w:r>
    </w:p>
    <w:p>
      <w:pPr>
        <w:spacing w:after="120" w:line="276"/>
        <w:ind w:firstLine="709"/>
        <w:jc w:val="both"/>
      </w:pPr>
      <w:r>
        <w:t xml:space="preserve">Суд обязан при продлении обсуждать возможность более мягкой меры и указывать причины, по которым она невозможна (п. 21, 29 Постановления Пленума № 41); запрет определённых действий подлежит обсуждению перед применением более строгой меры (п. 51.1). В постановлении содержится лишь формула о том, что иная мера не обеспечит надлежащего поведения обвиняемого, без анализа представленных защитой документов.</w:t>
      </w:r>
    </w:p>
    <w:p>
      <w:pPr>
        <w:spacing w:after="120" w:line="276"/>
        <w:ind w:firstLine="709"/>
        <w:jc w:val="both"/>
      </w:pPr>
      <w:r>
        <w:t xml:space="preserve">Защита предлагает домашний арест (ст. 107 УПК РФ) либо запрет определённых действий (ст. 105.1 УПК РФ) с исполнением по адресу: [адрес]. Жилое помещение принадлежит [степень родства, ФИО собственника] на праве собственности (выписка из ЕГРН от [дата]); собственник и совместно проживающие лица дали письменное согласие на проживание [ФИО обвиняемого] в условиях этой меры. Запреты на общение со свидетелями, использование средств связи и выход из жилого помещения полностью устраняют риски, на которые сослался суд.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11 ст. 108, ч. 2, 8 ст. 109, ст. 389.1, 389.3, 389.15–389.17, 389.20, 389.23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Постановление [наименование районного суда] от [дата] о продлении срока содержания под стражей [ФИО обвиняемого] отменить.</w:t>
      </w:r>
    </w:p>
    <w:p>
      <w:pPr>
        <w:spacing w:after="120" w:line="276"/>
        <w:ind w:left="360" w:hanging="360"/>
        <w:jc w:val="both"/>
      </w:pPr>
      <w:r>
        <w:t xml:space="preserve">2. В удовлетворении ходатайства следователя о продлении срока содержания под стражей отказать и избрать [ФИО обвиняемого] меру пресечения в виде домашнего ареста по адресу: [адрес] с запретами, предусмотренными ч. 7 ст. 107 УПК РФ (при невозможности – запрет определённых действий по ст. 105.1 УПК РФ по тому же адресу).</w:t>
      </w:r>
    </w:p>
    <w:p>
      <w:pPr>
        <w:spacing w:after="120" w:line="276"/>
        <w:ind w:left="360" w:hanging="360"/>
        <w:jc w:val="both"/>
      </w:pPr>
      <w:r>
        <w:t xml:space="preserve">3. Освободить [ФИО обвиняемого] из-под стражи.</w:t>
      </w:r>
    </w:p>
    <w:p>
      <w:pPr>
        <w:spacing w:after="120" w:line="276"/>
        <w:ind w:left="360" w:hanging="360"/>
        <w:jc w:val="both"/>
      </w:pPr>
      <w:r>
        <w:t xml:space="preserve">4. Обеспечить участие [ФИО обвиняемого] в заседании суда апелляционной инстанции, в том числе путём использования систем видео-конференц-связи.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Выписка из ЕГРН на жилое помещение по адресу: [адрес].</w:t>
      </w:r>
    </w:p>
    <w:p>
      <w:pPr>
        <w:spacing w:after="120" w:line="276"/>
        <w:ind w:left="360" w:hanging="360"/>
        <w:jc w:val="both"/>
      </w:pPr>
      <w:r>
        <w:t xml:space="preserve">3. Письменное согласие собственника и совместно проживающих лиц.</w:t>
      </w:r>
    </w:p>
    <w:p>
      <w:pPr>
        <w:spacing w:after="120" w:line="276"/>
        <w:ind w:left="360" w:hanging="360"/>
        <w:jc w:val="both"/>
      </w:pPr>
      <w:r>
        <w:t xml:space="preserve">4. Копии свидетельств о рождении детей.</w:t>
      </w:r>
    </w:p>
    <w:p>
      <w:pPr>
        <w:spacing w:after="120" w:line="276"/>
        <w:ind w:left="360" w:hanging="360"/>
        <w:jc w:val="both"/>
      </w:pPr>
      <w:r>
        <w:t xml:space="preserve">5. Копии медицинских документов [ФИО обвиняемого].</w:t>
      </w:r>
    </w:p>
    <w:p>
      <w:pPr>
        <w:spacing w:after="120" w:line="276"/>
        <w:ind w:left="360" w:hanging="360"/>
        <w:jc w:val="both"/>
      </w:pPr>
      <w:r>
        <w:t xml:space="preserve">6. Характеристики с места жительства и работы.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– адвокат [подпись] [ФИО защитника]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2026-10-18T17:57:08.838Z</dcterms:created>
  <dcterms:modified xsi:type="dcterms:W3CDTF">2026-10-18T17:57:08.838Z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