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Президиум Верховного Суда Российской Федерации</w:t>
      </w:r>
    </w:p>
    <w:p>
      <w:pPr>
        <w:spacing w:after="0"/>
        <w:jc w:val="right"/>
      </w:pPr>
      <w:r>
        <w:t xml:space="preserve">121260, г. Москва, ул. Поварская, д. 15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(истец):</w:t>
      </w:r>
      <w:r>
        <w:t xml:space="preserve"> [ФИО полностью]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 представителя], [адвокат, рег. № ... / доверенность № ... от ...]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Другие лица, участвующие в деле:</w:t>
      </w:r>
    </w:p>
    <w:p>
      <w:pPr>
        <w:spacing w:after="0"/>
        <w:jc w:val="right"/>
      </w:pPr>
      <w:r>
        <w:t xml:space="preserve">ответчик: [АО «Наименование страховщика»], ИНН [ИНН], адрес: [адрес]</w:t>
      </w:r>
    </w:p>
    <w:p>
      <w:pPr>
        <w:spacing w:after="0"/>
        <w:jc w:val="right"/>
      </w:pPr>
      <w:r>
        <w:t xml:space="preserve">третье лицо: [наименование / ФИО, если есть],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в суде первой инстанции]</w:t>
      </w:r>
    </w:p>
    <w:p>
      <w:pPr>
        <w:spacing w:after="0"/>
        <w:jc w:val="right"/>
      </w:pPr>
      <w:r>
        <w:t xml:space="preserve">[наименование районного суда]</w:t>
      </w:r>
    </w:p>
    <w:p>
      <w:pPr>
        <w:spacing w:after="0"/>
        <w:jc w:val="right"/>
      </w:pPr>
      <w:r>
        <w:t xml:space="preserve">Определение СКГД ВС РФ от [дата] № [номер]-КГ[год]-[номер]-К[номер]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7 000 руб. (пп. 21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НАДЗОРНАЯ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определение Судебной коллегии по гражданским делам Верховного Суда Российской Федерации от [дата]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Между мной и [АО «Наименование страховщика»] (далее — страховщик) заключён договор добровольного страхования имущества, принадлежащего мне жилого дома по адресу: [адрес], полис № [номер] от [дата], на условиях Правил страхования [название, редакция] (далее — Правила). Страховая сумма — [сумма] руб. Пожар назван в полисе в числе застрахованных рисков.</w:t>
      </w:r>
    </w:p>
    <w:p>
      <w:pPr>
        <w:spacing w:after="120" w:line="276"/>
        <w:ind w:firstLine="709"/>
        <w:jc w:val="both"/>
      </w:pPr>
      <w:r>
        <w:t xml:space="preserve">[дата] дом повреждён пожаром. Согласно техническому заключению [наименование экспертного учреждения МЧС России] от [дата] № [номер], причина пожара — аварийный режим работы электропроводки. В возбуждении уголовного дела отказано постановлением от [дата]: умысла на поджог не установлено.</w:t>
      </w:r>
    </w:p>
    <w:p>
      <w:pPr>
        <w:spacing w:after="120" w:line="276"/>
        <w:ind w:firstLine="709"/>
        <w:jc w:val="both"/>
      </w:pPr>
      <w:r>
        <w:t xml:space="preserve">Страховщик письмом от [дата] № [номер] отказал в выплате со ссылкой на п. [номер] Правил: «не является страховым случаем пожар, возникший вследствие нарушения страхователем правил пожарной безопасности». В вину мне поставлена эксплуатация электропроводки без проверки её технического состояния.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Принятые по делу судебные постановления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суда] от [дата] мой иск удовлетворён: со страховщика взыскано страховое возмещение [сумма] руб., неустойка, компенсация морального вреда и штраф по п. 6 ст. 13 Закона РФ «О защите прав потребителей». Суд признал п. [номер] Правил основанием освобождения страховщика от выплаты, которое закон не предусматривает и которое поэтому ничтожно.</w:t>
      </w:r>
    </w:p>
    <w:p>
      <w:pPr>
        <w:spacing w:after="120" w:line="276"/>
        <w:ind w:firstLine="709"/>
        <w:jc w:val="both"/>
      </w:pPr>
      <w:r>
        <w:t xml:space="preserve">Апелляционным определением судебной коллегии по гражданским делам [наименование областного суда] от [дата] решение оставлено без изменения.</w:t>
      </w:r>
    </w:p>
    <w:p>
      <w:pPr>
        <w:spacing w:after="120" w:line="276"/>
        <w:ind w:firstLine="709"/>
        <w:jc w:val="both"/>
      </w:pPr>
      <w:r>
        <w:t xml:space="preserve">Определением судебной коллегии по гражданским делам [номер] кассационного суда общей юрисдикции от [дата] решение и апелляционное определение оставлены без изменения.</w:t>
      </w:r>
    </w:p>
    <w:p>
      <w:pPr>
        <w:spacing w:after="120" w:line="276"/>
        <w:ind w:firstLine="709"/>
        <w:jc w:val="both"/>
      </w:pPr>
      <w:r>
        <w:t xml:space="preserve">Определением Судебной коллегии по гражданским делам Верховного Суда РФ от [дата] № [номер] (далее — определение СКГД) по кассационной жалобе страховщика все указанные постановления отменены, по делу принято новое решение об отказе в иске. Коллегия исходила из того, что стороны вправе включить в договор перечень событий, которые не признаются страховыми (п. 15 постановления Пленума ВС РФ от 25.06.2024 № 19 «О применении судами законодательства о добровольном страховании имущества», далее — Пленум № 19). По мнению коллегии, пожар по причине нарушения правил пожарной безопасности согласованно исключён из страхового покрытия.</w:t>
      </w:r>
    </w:p>
    <w:p>
      <w:pPr>
        <w:spacing w:after="120" w:line="276"/>
        <w:ind w:firstLine="709"/>
        <w:jc w:val="both"/>
      </w:pPr>
      <w:r>
        <w:t xml:space="preserve">Определение СКГД вступило в законную силу [дата] (ст. 390.17 ГПК РФ). Трёхмесячный срок, установленный ч. 2 ст. 391.2 ГПК РФ, не истёк. Определение СКГД, вынесенное в кассационном порядке, может быть обжаловано в Президиум ВС РФ (п. 6 ч. 2 ст. 391.1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Основание для пересмотра: нарушение единообразия в толковании и применении норм права (п. 3 ст. 391.9 ГПК РФ)</w:t>
      </w:r>
    </w:p>
    <w:p>
      <w:pPr>
        <w:spacing w:after="120" w:line="276"/>
        <w:ind w:firstLine="709"/>
        <w:jc w:val="both"/>
      </w:pPr>
      <w:r>
        <w:t xml:space="preserve">3.1. </w:t>
      </w:r>
      <w:r>
        <w:rPr>
          <w:i/>
          <w:iCs/>
        </w:rPr>
        <w:t xml:space="preserve">Определение СКГД противоречит п. 49 и 51 Пленума № 19.</w:t>
      </w:r>
      <w:r>
        <w:t xml:space="preserve"> По абз. 2 п. 1 ст. 963 ГК РФ страховщик освобождается от выплаты при грубой неосторожности страхователя только в случаях, прямо предусмотренных законом. Пленум № 19 повторяет это правило в п. 49. Закон такого основания для страхования имущества граждан не устанавливает. Пункт 51 Пленума № 19 и пп. 4 п. 2 ст. 16 Закона РФ «О защите прав потребителей» запрещают договором с потребителем устанавливать дополнительные основания освобождения страховщика от выплаты. Такие условия ничтожны независимо от заявления потребителя (п. 17 Пленума № 19).</w:t>
      </w:r>
    </w:p>
    <w:p>
      <w:pPr>
        <w:spacing w:after="120" w:line="276"/>
        <w:ind w:firstLine="709"/>
        <w:jc w:val="both"/>
      </w:pPr>
      <w:r>
        <w:t xml:space="preserve">Условие п. [номер] Правил не описывает иной риск. Пожар в полисе назван страховым случаем, а оговорка лишь связывает отказ в выплате с поведением страхователя, то есть с его виной. Формулировка «не является страховым случаем» не меняет существа условия. Это основание освобождения от выплаты за неосторожность, а не исключение из объёма страхового риска. Пункт 15 Пленума № 19 допускает исключения из покрытия, только если они не противоречат закону и не ущемляют права потребителя. Определение СКГД применило п. 15 в отрыве от этой оговорки и от п. 49, 51 того же постановления.</w:t>
      </w:r>
    </w:p>
    <w:p>
      <w:pPr>
        <w:spacing w:after="120" w:line="276"/>
        <w:ind w:firstLine="709"/>
        <w:jc w:val="both"/>
      </w:pPr>
      <w:r>
        <w:t xml:space="preserve">3.2. </w:t>
      </w:r>
      <w:r>
        <w:rPr>
          <w:i/>
          <w:iCs/>
        </w:rPr>
        <w:t xml:space="preserve">Определение СКГД противоречит правилу толкования из п. 16 Пленума № 19.</w:t>
      </w:r>
      <w:r>
        <w:t xml:space="preserve"> Если условие допускает два прочтения, его толкуют в пользу страхователя, поскольку проект договора подготовил страховщик (абз. 2 ст. 431 ГК РФ). Коллегия выбрала толкование, выгодное страховщику, и не привела мотивов, по которым п. 16 Пленума № 19 не применяется.</w:t>
      </w:r>
    </w:p>
    <w:p>
      <w:pPr>
        <w:spacing w:after="120" w:line="276"/>
        <w:ind w:firstLine="709"/>
        <w:jc w:val="both"/>
      </w:pPr>
      <w:r>
        <w:t xml:space="preserve">3.3. </w:t>
      </w:r>
      <w:r>
        <w:rPr>
          <w:i/>
          <w:iCs/>
        </w:rPr>
        <w:t xml:space="preserve">Определение СКГД расходится с позицией Судебной коллегии по экономическим спорам ВС РФ по тождественному вопросу права.</w:t>
      </w:r>
      <w:r>
        <w:t xml:space="preserve"> В определении СКЭС ВС РФ от 18.02.2025 № 306-ЭС24-19744 (дело № А72-17277/2022) оценивалось условие договора страхования имущества об отказе в выплате при пожаре из-за нарушения страхователем правил пожарной безопасности. СКЭС указала, что суды обязаны различать исключения из страхового покрытия и основания освобождения от выплаты. Перечень оснований освобождения установлен законом, стороны не вправе его расширять, и поэтому такое условие ничтожно. Судебные акты, основанные на этом условии, отменены. Этот вывод сделан в пользу страхователя-организации, хотя организация не пользуется защитой Закона о защите прав потребителей. Тем более он применим к страхователю-потребителю.</w:t>
      </w:r>
    </w:p>
    <w:p>
      <w:pPr>
        <w:spacing w:after="120" w:line="276"/>
        <w:ind w:firstLine="709"/>
        <w:jc w:val="both"/>
      </w:pPr>
      <w:r>
        <w:t xml:space="preserve">Две судебные коллегии ВС РФ дали противоположное толкование ст. 963 ГК РФ применительно к одному и тому же типовому условию. Такое расхождение лишает нижестоящие суды ориентира. Его устранение отнесено к полномочиям Президиума ВС РФ.</w:t>
      </w:r>
    </w:p>
    <w:p>
      <w:pPr>
        <w:spacing w:after="120" w:line="276"/>
        <w:ind w:firstLine="709"/>
        <w:jc w:val="both"/>
      </w:pPr>
      <w:r>
        <w:t xml:space="preserve">Суды первой, апелляционной и кассационной инстанций применили закон правильно. Обстоятельства дела установлены полностью, дополнительного исследования доказательств не требуется.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391.1–391.3, 391.9, п. 4 ч. 1 ст. 391.12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Передать надзорную жалобу с делом для рассмотрения в судебном заседании Президиума Верховного Суда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Отменить определение Судебной коллегии по гражданским делам Верховного Суда Российской Федерации от [дата] № [номер].</w:t>
      </w:r>
    </w:p>
    <w:p>
      <w:pPr>
        <w:spacing w:after="120" w:line="276"/>
        <w:ind w:left="360" w:hanging="360"/>
        <w:jc w:val="both"/>
      </w:pPr>
      <w:r>
        <w:t xml:space="preserve">3. Оставить в силе решение [наименование районного суда] от [дата], апелляционное определение судебной коллегии по гражданским делам [наименование областного суда] от [дата] и определение судебной коллегии по гражданским делам [номер] кассационного суда общей юрисдикции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 районного суда]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2. Копия апелляционного определения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3. Копия определения кассационного суда общей юрисдикции от [дата], заверенная судом.</w:t>
      </w:r>
    </w:p>
    <w:p>
      <w:pPr>
        <w:spacing w:after="120" w:line="276"/>
        <w:ind w:left="360" w:hanging="360"/>
        <w:jc w:val="both"/>
      </w:pPr>
      <w:r>
        <w:t xml:space="preserve">4. Копия определения Судебной коллегии по гражданским делам ВС РФ от [дата] № [номер], заверенная судом.</w:t>
      </w:r>
    </w:p>
    <w:p>
      <w:pPr>
        <w:spacing w:after="120" w:line="276"/>
        <w:ind w:left="360" w:hanging="360"/>
        <w:jc w:val="both"/>
      </w:pPr>
      <w:r>
        <w:t xml:space="preserve">5. Копии надзорной жалобы по числу лиц, участвующих в деле, — [количество] экз.</w:t>
      </w:r>
    </w:p>
    <w:p>
      <w:pPr>
        <w:spacing w:after="120" w:line="276"/>
        <w:ind w:left="360" w:hanging="360"/>
        <w:jc w:val="both"/>
      </w:pPr>
      <w:r>
        <w:t xml:space="preserve">6. Документ об уплате государственной пошлины 7 000 руб.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 с правом обжалования судебных постановлений в порядке надзора (если жалобу подписывает представитель).</w:t>
      </w:r>
    </w:p>
    <w:p>
      <w:pPr>
        <w:spacing w:after="120" w:line="276"/>
        <w:ind w:left="360" w:hanging="360"/>
        <w:jc w:val="both"/>
      </w:pPr>
      <w:r>
        <w:t xml:space="preserve">8. Копия определения СКЭС ВС РФ от 18.02.2025 № 306-ЭС24-19744.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2026-10-18T18:38:45.997Z</dcterms:created>
  <dcterms:modified xsi:type="dcterms:W3CDTF">2026-10-18T18:38:45.997Z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