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 [наименование областного (краевого)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(городского)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– адвоката [ФИО адвоката],</w:t>
      </w:r>
    </w:p>
    <w:p>
      <w:pPr>
        <w:spacing w:after="0"/>
        <w:jc w:val="right"/>
      </w:pPr>
      <w:r>
        <w:t xml:space="preserve">рег. №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адрес: [адрес], тел.: [телефон], e-mail: [e-mail],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интересах осуждённого [ФИО осуждённого], [дата рождения] г. р.,</w:t>
      </w:r>
    </w:p>
    <w:p>
      <w:pPr>
        <w:spacing w:after="0"/>
        <w:jc w:val="right"/>
      </w:pPr>
      <w:r>
        <w:t xml:space="preserve">содержащегося в [наименование учреждения]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приговор [наименование суда] от [дата] (необходимая оборона, ч. 1 и ч. 2.1 ст. 37 УК РФ)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суда] от [дата] [ФИО осуждённого] признан виновным в совершении преступления, предусмотренного п. «з» ч. 2 ст. 111 УК РФ, и ему назначено наказание в виде лишения свободы на срок 3 года 6 месяцев с отбыванием в исправительной колонии общего режима.</w:t>
      </w:r>
    </w:p>
    <w:p>
      <w:pPr>
        <w:spacing w:after="120" w:line="276"/>
        <w:ind w:firstLine="709"/>
        <w:jc w:val="both"/>
      </w:pPr>
      <w:r>
        <w:t xml:space="preserve">Согласно приговору, [дата] около [время] в квартире по адресу: [адрес] в ходе конфликта [ФИО осуждённого] причинил [ФИО потерпевшего] ножом тяжкий вред здоровью, опасный для жизни человека.</w:t>
      </w:r>
    </w:p>
    <w:p>
      <w:pPr>
        <w:spacing w:after="120" w:line="276"/>
        <w:ind w:firstLine="709"/>
        <w:jc w:val="both"/>
      </w:pPr>
      <w:r>
        <w:t xml:space="preserve">Версию осуждённого о том, что он защищался от нападения, суд отверг, указав, что [ФИО осуждённого] «мог покинуть квартиру и вызвать полицию», а избранное им средство защиты «несоразмерно действиям потерпевшего» (с. [номер] приговора).</w:t>
      </w:r>
    </w:p>
    <w:p>
      <w:pPr>
        <w:spacing w:after="120" w:line="276"/>
        <w:ind w:firstLine="709"/>
        <w:jc w:val="both"/>
      </w:pPr>
      <w:r>
        <w:t xml:space="preserve">Приговор подлежит отмене как незаконный и необоснованный: выводы суда не соответствуют фактическим обстоятельствам дела, неправильно применена Общая часть уголовного закона, нарушен уголовно-процессуальный закон (пп. 1–3 ст. 389.15, пп. 1–3 ст. 389.16, п. 1 ч. 1 ст. 389.18 УПК РФ).</w:t>
      </w:r>
    </w:p>
    <w:p>
      <w:pPr>
        <w:spacing w:after="160" w:before="200"/>
        <w:jc w:val="center"/>
      </w:pPr>
      <w:r>
        <w:rPr>
          <w:b/>
          <w:bCs/>
        </w:rPr>
        <w:t xml:space="preserve">1. Посягательство было сопряжено с насилием, опасным для жизни (ч. 1 ст. 37 УК РФ)</w:t>
      </w:r>
    </w:p>
    <w:p>
      <w:pPr>
        <w:spacing w:after="120" w:line="276"/>
        <w:ind w:firstLine="709"/>
        <w:jc w:val="both"/>
      </w:pPr>
      <w:r>
        <w:t xml:space="preserve">Судом установлено и не оспаривается, что [ФИО потерпевшего] пришёл в квартиру [ФИО осуждённого] в ночное время без приглашения, а после того, как осуждённый открыл дверь, вошёл в квартиру против его воли с металлическим предметом [указать: труба, монтировка] в руке (с. [номер] приговора).</w:t>
      </w:r>
    </w:p>
    <w:p>
      <w:pPr>
        <w:spacing w:after="120" w:line="276"/>
        <w:ind w:firstLine="709"/>
        <w:jc w:val="both"/>
      </w:pPr>
      <w:r>
        <w:t xml:space="preserve">Применение потерпевшим этого предмета против осуждённого подтверждается:</w:t>
      </w:r>
    </w:p>
    <w:p>
      <w:pPr>
        <w:spacing w:after="120" w:line="276"/>
        <w:ind w:left="360" w:hanging="360"/>
        <w:jc w:val="both"/>
      </w:pPr>
      <w:r>
        <w:t xml:space="preserve">1. Заключением эксперта № [номер] от [дата] (т. [номер], л. д. [номер]), согласно которому у [ФИО осуждённого] обнаружены [перечень повреждений], давность которых соответствует времени событий, а механизм образования – воздействию твёрдого предмета с ограниченной поверхностью.</w:t>
      </w:r>
    </w:p>
    <w:p>
      <w:pPr>
        <w:spacing w:after="120" w:line="276"/>
        <w:ind w:left="360" w:hanging="360"/>
        <w:jc w:val="both"/>
      </w:pPr>
      <w:r>
        <w:t xml:space="preserve">2. Протоколом осмотра места происшествия от [дата] (т. [номер], л. д. [номер]), которым в прихожей изъят металлический предмет со следами [указать], а также зафиксированы следы борьбы.</w:t>
      </w:r>
    </w:p>
    <w:p>
      <w:pPr>
        <w:spacing w:after="120" w:line="276"/>
        <w:ind w:left="360" w:hanging="360"/>
        <w:jc w:val="both"/>
      </w:pPr>
      <w:r>
        <w:t xml:space="preserve">3. Показаниями соседей [ФИО свидетеля 1] и [ФИО свидетеля 2] в судебном заседании [дата] (протокол, с. [номер]): они слышали крики осуждённого о помощи и шум борьбы, а [ФИО свидетеля 1] вызвал полицию в [время] (т. [номер], л. д. [номер] – сведения о вызове).</w:t>
      </w:r>
    </w:p>
    <w:p>
      <w:pPr>
        <w:spacing w:after="120" w:line="276"/>
        <w:ind w:left="360" w:hanging="360"/>
        <w:jc w:val="both"/>
      </w:pPr>
      <w:r>
        <w:t xml:space="preserve">4. Показаниями самого [ФИО осуждённого], последовательными с момента первого допроса (т. [номер], л. д. [номер]) и подтверждёнными при проверке показаний на месте (т. [номер], л. д. [номер]).</w:t>
      </w:r>
    </w:p>
    <w:p>
      <w:pPr>
        <w:spacing w:after="120" w:line="276"/>
        <w:ind w:firstLine="709"/>
        <w:jc w:val="both"/>
      </w:pPr>
      <w:r>
        <w:t xml:space="preserve">По смыслу п. 2 Постановления Пленума Верховного Суда РФ от 27.09.2012 № 19 «О применении судами законодательства о необходимой обороне и причинении вреда при задержании лица, совершившего преступление» о посягательстве, сопряжённом с насилием, опасным для жизни, свидетельствует, в частности, применение предметов, используемых в качестве оружия. При защите от такого посягательства обороняющийся вправе причинить посягающему любой по характеру и объёму вред (ч. 1 ст. 37 УК РФ, п. 10 Постановления Пленума № 19).</w:t>
      </w:r>
    </w:p>
    <w:p>
      <w:pPr>
        <w:spacing w:after="120" w:line="276"/>
        <w:ind w:firstLine="709"/>
        <w:jc w:val="both"/>
      </w:pPr>
      <w:r>
        <w:t xml:space="preserve">Суд, признав факт нападения с металлическим предметом, тем не менее оценил действия осуждённого с точки зрения соразмерности. Критерий соразмерности применим лишь к защите от посягательства, указанного в ч. 2 ст. 37 УК РФ (п. 11 Постановления Пленума № 19). Ссылка суда на возможность покинуть квартиру или вызвать полицию противоречит ч. 3 ст. 37 УК РФ и п. 1 Постановления Пленума № 19.</w:t>
      </w:r>
    </w:p>
    <w:p>
      <w:pPr>
        <w:spacing w:after="160" w:before="200"/>
        <w:jc w:val="center"/>
      </w:pPr>
      <w:r>
        <w:rPr>
          <w:b/>
          <w:bCs/>
        </w:rPr>
        <w:t xml:space="preserve">2. Посягательство было неожиданным (ч. 2.1 ст. 37 УК РФ)</w:t>
      </w:r>
    </w:p>
    <w:p>
      <w:pPr>
        <w:spacing w:after="120" w:line="276"/>
        <w:ind w:firstLine="709"/>
        <w:jc w:val="both"/>
      </w:pPr>
      <w:r>
        <w:t xml:space="preserve">Даже если судебная коллегия не признает посягательство опасным для жизни, превышения пределов необходимой обороны не было. Нападение совершено ночью, с проникновением в жилище, на осуждённого, который [был разбужен звонком в дверь, находился один]. Согласно п. 4 Постановления Пленума № 19 такое посягательство может быть признано неожиданным, а оборонявшийся в состоянии испуга не мог объективно оценить степень и характер его опасности. Эти обстоятельства суд в приговоре не исследовал.</w:t>
      </w:r>
    </w:p>
    <w:p>
      <w:pPr>
        <w:spacing w:after="160" w:before="200"/>
        <w:jc w:val="center"/>
      </w:pPr>
      <w:r>
        <w:rPr>
          <w:b/>
          <w:bCs/>
        </w:rPr>
        <w:t xml:space="preserve">3. Версия обороны не опровергнута, доказательства защиты не оценены</w:t>
      </w:r>
    </w:p>
    <w:p>
      <w:pPr>
        <w:spacing w:after="120" w:line="276"/>
        <w:ind w:firstLine="709"/>
        <w:jc w:val="both"/>
      </w:pPr>
      <w:r>
        <w:t xml:space="preserve">Согласно п. 13 Постановления Пленума № 19 и ст. 14 УПК РФ бремя опровержения доводов подсудимого о необходимой обороне лежит на стороне обвинения, а все неустранимые сомнения в наличии состояния необходимой обороны толкуются в пользу подсудимого.</w:t>
      </w:r>
    </w:p>
    <w:p>
      <w:pPr>
        <w:spacing w:after="120" w:line="276"/>
        <w:ind w:firstLine="709"/>
        <w:jc w:val="both"/>
      </w:pPr>
      <w:r>
        <w:t xml:space="preserve">В нарушение п. 2 ст. 307 УПК РФ и п. 6 Постановления Пленума Верховного Суда РФ от 29.11.2016 № 55 «О судебном приговоре» суд не дал оценки заключению эксперта о телесных повреждениях у осуждённого и показаниям соседей, не привёл доказательств того, что посягательство к моменту действий осуждённого было окончено, и не указал, какие конкретно действия осуждённого явно не соответствовали характеру и опасности посягательства. Выводы суда основаны на предположениях, что недопустимо (ч. 4 ст. 14, ч. 4 ст. 302 УПК РФ).</w:t>
      </w:r>
    </w:p>
    <w:p>
      <w:pPr>
        <w:spacing w:after="120" w:line="276"/>
        <w:ind w:firstLine="709"/>
        <w:jc w:val="both"/>
      </w:pPr>
      <w:r>
        <w:t xml:space="preserve">Действия [ФИО осуждённого] совершены в состоянии необходимой обороны, поэтому в его деянии отсутствует состав преступления. Это основание для оправдания (п. 3 ч. 2 ст. 302 УПК РФ, п. 30 Постановления Пленума № 19).</w:t>
      </w:r>
    </w:p>
    <w:p>
      <w:pPr>
        <w:spacing w:after="120" w:line="276"/>
        <w:ind w:firstLine="709"/>
        <w:jc w:val="both"/>
      </w:pPr>
      <w:r>
        <w:t xml:space="preserve">Если судебная коллегия придёт к выводу о превышении пределов необходимой обороны, действия осуждённого подлежат квалификации по ч. 1 ст. 114 УК РФ: умысел был направлен на защиту от посягательства, а не на причинение вреда по иным мотивам.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389.3, 389.6, 389.15, 389.16, 389.18, 389.20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приговор [наименование суда] от [дата] в отношении [ФИО осуждённого] и вынести оправдательный приговор на основании п. 3 ч. 2 ст. 302 УПК РФ в связи с отсутствием в деянии состава преступления, признать за ним право на реабилитацию.</w:t>
      </w:r>
    </w:p>
    <w:p>
      <w:pPr>
        <w:spacing w:after="120" w:line="276"/>
        <w:ind w:left="360" w:hanging="360"/>
        <w:jc w:val="both"/>
      </w:pPr>
      <w:r>
        <w:t xml:space="preserve">2. В случае, если судебная коллегия не найдёт оснований для оправдания, изменить приговор: переквалифицировать действия [ФИО осуждённого] с п. «з» ч. 2 ст. 111 УК РФ на ч. 1 ст. 114 УК РФ и назначить наказание в пределах санкции этой нормы.</w:t>
      </w:r>
    </w:p>
    <w:p>
      <w:pPr>
        <w:spacing w:after="120" w:line="276"/>
        <w:ind w:left="360" w:hanging="360"/>
        <w:jc w:val="both"/>
      </w:pPr>
      <w:r>
        <w:t xml:space="preserve">3. Исследовать в судебном заседании заключение эксперта № [номер] (т. [номер], л. д. [номер]) и повторно допросить свидетелей [ФИО свидетеля 1] и [ФИО свидетеля 2] (ч. 1.1 ст. 389.6 УПК РФ).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Ордер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2. Копия заключения эксперта № [номер] о телесных повреждениях у [ФИО осуждённого].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– адвокат [ФИО адвоката]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2026-10-19T00:21:14.018Z</dcterms:created>
  <dcterms:modified xsi:type="dcterms:W3CDTF">2026-10-19T00:21:14.018Z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