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следователя]</w:t>
      </w:r>
    </w:p>
    <w:p>
      <w:pPr>
        <w:spacing w:after="0"/>
        <w:jc w:val="right"/>
      </w:pPr>
      <w:r>
        <w:t xml:space="preserve">[наименование следственного органа]</w:t>
      </w:r>
    </w:p>
    <w:p>
      <w:pPr>
        <w:spacing w:after="0"/>
        <w:jc w:val="right"/>
      </w:pPr>
      <w:r>
        <w:t xml:space="preserve">[ФИО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обвиняемого [ФИО обвиняемого]</w:t>
      </w:r>
    </w:p>
    <w:p>
      <w:pPr>
        <w:spacing w:after="0"/>
        <w:jc w:val="right"/>
      </w:pPr>
      <w:r>
        <w:t xml:space="preserve">адвоката [ФИО адвоката]</w:t>
      </w:r>
    </w:p>
    <w:p>
      <w:pPr>
        <w:spacing w:after="0"/>
        <w:jc w:val="right"/>
      </w:pPr>
      <w:r>
        <w:t xml:space="preserve">(рег. № [номер] в реестре адвокатов [субъект РФ], ордер № [номер] от [дата])</w:t>
      </w:r>
    </w:p>
    <w:p>
      <w:pPr>
        <w:spacing w:after="0"/>
        <w:jc w:val="right"/>
      </w:pPr>
      <w:r>
        <w:t xml:space="preserve">адрес для корреспонденции: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 уголовного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судебной финансово-экономической экспертизы для определения размера дохода по делу о незаконной банковской деятельности (ст. 195, 198 УПК РФ)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ч. 2 ст. 172 УК РФ.</w:t>
      </w:r>
    </w:p>
    <w:p>
      <w:pPr>
        <w:spacing w:after="120" w:line="276"/>
        <w:ind w:firstLine="709"/>
        <w:jc w:val="both"/>
      </w:pPr>
      <w:r>
        <w:t xml:space="preserve">[Дата] [ФИО обвиняемого] предъявлено обвинение в совершении преступления, предусмотренного пп. «а», «б» ч. 2 ст. 172 УК РФ. По версии следствия, в период с [дата] по [дата] он в составе организованной группы осуществлял банковские операции без регистрации и лицензии с использованием расчётных счетов девяти организаций: [ООО «...», ИНН ...; перечислить все девять организаций и банки, в которых открыты счета], и извлёк доход в особо крупном размере — 140 000 000 руб.</w:t>
      </w:r>
    </w:p>
    <w:p>
      <w:pPr>
        <w:spacing w:after="120" w:line="276"/>
        <w:ind w:firstLine="709"/>
        <w:jc w:val="both"/>
      </w:pPr>
      <w:r>
        <w:t xml:space="preserve">Сумма 140 000 000 руб. взята из [справки об исследовании / заключения специалиста] № [номер] от [дата] ([фамилия, инициалы, должность специалиста], т. [номер], л.д. [номер]). Она представляет собой общую сумму всех денежных средств, поступивших на расчётные счета названных организаций за весь период, без какого-либо разделения поступлений по источникам и назначению. Судебная экспертиза по вопросу о размере дохода по делу не назначалась.</w:t>
      </w:r>
    </w:p>
    <w:p>
      <w:pPr>
        <w:spacing w:after="160" w:before="200"/>
        <w:jc w:val="center"/>
      </w:pPr>
      <w:r>
        <w:rPr>
          <w:b/>
          <w:bCs/>
        </w:rPr>
        <w:t xml:space="preserve">Обоснование ходатайства</w:t>
      </w:r>
    </w:p>
    <w:p>
      <w:pPr>
        <w:spacing w:after="120" w:line="276"/>
        <w:ind w:left="360" w:hanging="360"/>
        <w:jc w:val="both"/>
      </w:pPr>
      <w:r>
        <w:t xml:space="preserve">1. Доход в крупном или особо крупном размере — обязательный признак состава по ч. 1 и п. «б» ч. 2 ст. 172 УК РФ, то есть обстоятельство, подлежащее доказыванию по п. 1 ч. 1 ст. 73 УПК РФ. Согласно примечанию к ст. 170.2 УК РФ (в ред. Федерального закона от 06.04.2024 № 79-ФЗ) крупным признаётся доход свыше 3 500 000 руб., особо крупным — свыше 13 500 000 руб.</w:t>
      </w:r>
    </w:p>
    <w:p>
      <w:pPr>
        <w:spacing w:after="120" w:line="276"/>
        <w:ind w:left="360" w:hanging="360"/>
        <w:jc w:val="both"/>
      </w:pPr>
      <w:r>
        <w:t xml:space="preserve">2. Доходом лица, оказывающего услуги по проведению банковских операций, является полученное им вознаграждение, а не денежные средства клиентов, которые проходят через счета транзитом и возвращаются клиентам наличными или перечисляются указанным ими лицам. По материалам дела вознаграждение составляло [процент] % ([показания ..., т. ..., л.д. ...; изъятые таблицы учёта, т. ..., л.д. ...]). Даже если применить эту ставку ко всей сумме поступлений, доход составит [сумма] руб., а после исключения внутренних перечислений и возвратов может оказаться ниже порога особо крупного размера.</w:t>
      </w:r>
    </w:p>
    <w:p>
      <w:pPr>
        <w:spacing w:after="120" w:line="276"/>
        <w:ind w:left="360" w:hanging="360"/>
        <w:jc w:val="both"/>
      </w:pPr>
      <w:r>
        <w:t xml:space="preserve">3. Справка, на которой основан расчёт, не разграничивает: поступления от клиентов и перечисления между самими подконтрольными организациями; возвраты ошибочно зачисленных и неиспользованных сумм; платежи по реальной хозяйственной деятельности организаций ([аренда, заработная плата, налоги — указать по выпискам]). Повторный учёт одних и тех же денег при транзите через несколько счетов многократно увеличивает итоговую сумму.</w:t>
      </w:r>
    </w:p>
    <w:p>
      <w:pPr>
        <w:spacing w:after="120" w:line="276"/>
        <w:ind w:left="360" w:hanging="360"/>
        <w:jc w:val="both"/>
      </w:pPr>
      <w:r>
        <w:t xml:space="preserve">4. Определить базу и размер вознаграждения можно только на основе специальных знаний в области бухгалтерского учёта и финансового анализа, путём исследования выписок по счетам за весь период. Согласно п. 6 постановления Пленума Верховного Суда РФ от 21.12.2010 № 28 «О судебной экспертизе по уголовным делам» справки, акты и иные формы фиксации результатов исследований не могут рассматриваться как заключение эксперта.</w:t>
      </w:r>
    </w:p>
    <w:p>
      <w:pPr>
        <w:spacing w:after="120" w:line="276"/>
        <w:ind w:left="360" w:hanging="360"/>
        <w:jc w:val="both"/>
      </w:pPr>
      <w:r>
        <w:t xml:space="preserve">5. От размера дохода зависят квалификация по п. «б» ч. 2 ст. 172 УК РФ, возможность освобождения от уголовной ответственности по ч. 2 ст. 76.1 УК РФ и ч. 3 ст. 28.1 УПК РФ и размер необходимых для этого выплат. Поэтому в силу ч. 2 ст. 159 УПК РФ в производстве экспертизы не может быть отказано.</w:t>
      </w:r>
    </w:p>
    <w:p>
      <w:pPr>
        <w:spacing w:after="120" w:line="276"/>
        <w:ind w:left="360" w:hanging="360"/>
        <w:jc w:val="both"/>
      </w:pPr>
      <w:r>
        <w:t xml:space="preserve">6. Защита просит поручить экспертизу государственному судебно-экспертному учреждению Министерства юстиции РФ, не связанному с органом, сотрудник которого составил справку, что обеспечит независимость эксперта и право на отвод (п. 2–3 ч. 1 ст. 198 УПК РФ, п. 3 постановления Пленума № 28).</w:t>
      </w:r>
    </w:p>
    <w:p>
      <w:pPr>
        <w:spacing w:after="160" w:before="200"/>
        <w:jc w:val="center"/>
      </w:pPr>
      <w:r>
        <w:rPr>
          <w:b/>
          <w:bCs/>
        </w:rPr>
        <w:t xml:space="preserve">Вопросы, которые защита просит поставить перед экспертом</w:t>
      </w:r>
    </w:p>
    <w:p>
      <w:pPr>
        <w:spacing w:after="120" w:line="276"/>
        <w:ind w:left="360" w:hanging="360"/>
        <w:jc w:val="both"/>
      </w:pPr>
      <w:r>
        <w:t xml:space="preserve">1. Какая сумма денежных средств поступила на расчётные счета каждой из организаций, указанных в постановлении, за период с [дата] по [дата] от лиц, не входящих в число этих организаций (внешние поступления), без учёта перечислений между самими организациями, возвратов и сторнированных операций?</w:t>
      </w:r>
    </w:p>
    <w:p>
      <w:pPr>
        <w:spacing w:after="120" w:line="276"/>
        <w:ind w:left="360" w:hanging="360"/>
        <w:jc w:val="both"/>
      </w:pPr>
      <w:r>
        <w:t xml:space="preserve">2. Какая сумма из внешних поступлений, указанных в ответе на вопрос 1, была в течение того же периода снята наличными со счетов организаций либо перечислена на счета физических лиц и иных получателей, не входящих в число этих организаций, с разбивкой по каждому плательщику-клиенту?</w:t>
      </w:r>
    </w:p>
    <w:p>
      <w:pPr>
        <w:spacing w:after="120" w:line="276"/>
        <w:ind w:left="360" w:hanging="360"/>
        <w:jc w:val="both"/>
      </w:pPr>
      <w:r>
        <w:t xml:space="preserve">3. Какова по каждому плательщику-клиенту разница между суммой его внешних поступлений и суммой, снятой наличными или перечисленной в его интересах, если исходить из документов, указанных в вопросе 5?</w:t>
      </w:r>
    </w:p>
    <w:p>
      <w:pPr>
        <w:spacing w:after="120" w:line="276"/>
        <w:ind w:left="360" w:hanging="360"/>
        <w:jc w:val="both"/>
      </w:pPr>
      <w:r>
        <w:t xml:space="preserve">4. Какие операции по счетам организаций имеют признаки реальной хозяйственной деятельности (оплата аренды, коммунальных услуг, заработной платы, налогов и взносов, поставщикам по документально подтверждённым договорам) и на какую сумму?</w:t>
      </w:r>
    </w:p>
    <w:p>
      <w:pPr>
        <w:spacing w:after="120" w:line="276"/>
        <w:ind w:left="360" w:hanging="360"/>
        <w:jc w:val="both"/>
      </w:pPr>
      <w:r>
        <w:t xml:space="preserve">5. Какова сумма вознаграждения, рассчитанная по ставкам, указанным в [изъятых таблицах учёта, т. ..., л.д. ...; переписке, т. ..., л.д. ...], от суммы внешних поступлений, определённой в ответе на вопрос 1?</w:t>
      </w:r>
    </w:p>
    <w:p>
      <w:pPr>
        <w:spacing w:after="120" w:line="276"/>
        <w:ind w:left="360" w:hanging="360"/>
        <w:jc w:val="both"/>
      </w:pPr>
      <w:r>
        <w:t xml:space="preserve">6. Какова сумма, определённая в ответах на вопросы 1–5, отдельно за период с [дата, с которой следствие связывает участие обвиняемого] по [дата]?</w:t>
      </w:r>
    </w:p>
    <w:p>
      <w:pPr>
        <w:spacing w:after="120" w:line="276"/>
        <w:ind w:left="360" w:hanging="360"/>
        <w:jc w:val="both"/>
      </w:pPr>
      <w:r>
        <w:t xml:space="preserve">7. Соответствуют ли итоговые суммы, приведённые в [справке / заключении специалиста] № [номер] от [дата], данным банковских выписок; если нет — в чём и на какую сумму расхождения?</w:t>
      </w:r>
    </w:p>
    <w:p>
      <w:pPr>
        <w:spacing w:after="160" w:before="200"/>
        <w:jc w:val="center"/>
      </w:pPr>
      <w:r>
        <w:rPr>
          <w:b/>
          <w:bCs/>
        </w:rPr>
        <w:t xml:space="preserve">Материалы, которые необходимо предоставить эксперту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выписки о движении денежных средств по всем счетам указанных организаций за период с [дата] по [дата] в электронном виде (формат банка), полученные по запросам [номера и даты запросов, т. ..., л.д. ...];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платёжные поручения и сведения о снятии наличных (чеки, данные банкоматов), имеющиеся в деле;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изъятые при обыске [дата] таблицы учёта, черновые записи и переписка с указанием ставок вознаграждения (т. [номер], л.д. [номер]);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[справка / заключение специалиста] № [номер] от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договоры и первичные документы организаций, изъятые по делу.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 уголовному делу № [номер] судебную финансово-экономическую (бухгалтерскую) экспертизу.</w:t>
      </w:r>
    </w:p>
    <w:p>
      <w:pPr>
        <w:spacing w:after="120" w:line="276"/>
        <w:ind w:left="360" w:hanging="360"/>
        <w:jc w:val="both"/>
      </w:pPr>
      <w:r>
        <w:t xml:space="preserve">2. Поставить перед экспертом вопросы № 1–7, изложенные в настоящем ходатайстве.</w:t>
      </w:r>
    </w:p>
    <w:p>
      <w:pPr>
        <w:spacing w:after="120" w:line="276"/>
        <w:ind w:left="360" w:hanging="360"/>
        <w:jc w:val="both"/>
      </w:pPr>
      <w:r>
        <w:t xml:space="preserve">3. Поручить производство экспертизы [наименование государственного судебно-экспертного учреждения Минюста России, адрес], сообщить защите фамилию, имя и отчество эксперта, которому будет поручено её производство.</w:t>
      </w:r>
    </w:p>
    <w:p>
      <w:pPr>
        <w:spacing w:after="120" w:line="276"/>
        <w:ind w:left="360" w:hanging="360"/>
        <w:jc w:val="both"/>
      </w:pPr>
      <w:r>
        <w:t xml:space="preserve">4. Предоставить эксперту материалы, перечисленные в настоящем ходатайстве.</w:t>
      </w:r>
    </w:p>
    <w:p>
      <w:pPr>
        <w:spacing w:after="120" w:line="276"/>
        <w:ind w:left="360" w:hanging="360"/>
        <w:jc w:val="both"/>
      </w:pPr>
      <w:r>
        <w:t xml:space="preserve">5. Ознакомить обвиняемого и защитника с постановлением о назначении экспертизы до начала её производства (ч. 3 ст. 195 УПК РФ, п. 9 постановления Пленума № 28).</w:t>
      </w:r>
    </w:p>
    <w:p>
      <w:pPr>
        <w:spacing w:after="120" w:line="276"/>
        <w:ind w:left="360" w:hanging="360"/>
        <w:jc w:val="both"/>
      </w:pPr>
      <w:r>
        <w:t xml:space="preserve">6. О результатах рассмотрения ходатайства уведомить защиту в срок, установленный ст. 121 УПК РФ, а в случае отказа вынести мотивированное постановление (ч. 3 ст. 159 УПК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Расчёт защиты по данным выписок (таблица на [количество] л.).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2026-10-19T08:40:26.136Z</dcterms:created>
  <dcterms:modified xsi:type="dcterms:W3CDTF">2026-10-19T08:40:26.136Z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