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Федеральную службу по интеллектуальной собственности (Роспатент)</w:t>
      </w:r>
    </w:p>
    <w:p>
      <w:pPr>
        <w:spacing w:after="0"/>
        <w:jc w:val="right"/>
      </w:pPr>
      <w:r>
        <w:t xml:space="preserve">Бережковская наб., д. 30, корп. 1, г. Москва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Лицо, подавшее возражение: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 места нахождения]</w:t>
      </w:r>
    </w:p>
    <w:p>
      <w:pPr>
        <w:spacing w:after="0"/>
        <w:jc w:val="right"/>
      </w:pPr>
      <w:r>
        <w:t xml:space="preserve">Адрес для переписки: [адрес], e-mail: [адрес электронной почты], тел.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Представитель:</w:t>
      </w:r>
      <w:r>
        <w:t xml:space="preserve"> патентный поверенный [ФИО], рег. № [номер], по доверенности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Патентообладатель:</w:t>
      </w:r>
      <w:r>
        <w:t xml:space="preserve"> [наименование / ФИО],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Оспариваемый патент:</w:t>
      </w:r>
      <w:r>
        <w:t xml:space="preserve"> патент Российской Федерации на полезную модель № [номер] «Кронштейн для навесного фасада», заявка № [номер], дата подачи [дата], приоритет от [дата], опубликован [дата]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ВОЗРАЖЕНИЕ</w:t>
      </w:r>
    </w:p>
    <w:p>
      <w:pPr>
        <w:spacing w:after="160" w:before="200"/>
        <w:jc w:val="center"/>
      </w:pPr>
      <w:r>
        <w:rPr>
          <w:b/>
          <w:bCs/>
        </w:rPr>
        <w:t xml:space="preserve">против выдачи патента Российской Федерации на полезную модель № [номер]</w:t>
      </w:r>
    </w:p>
    <w:p>
      <w:pPr>
        <w:spacing w:after="120" w:line="276"/>
        <w:ind w:firstLine="709"/>
        <w:jc w:val="both"/>
      </w:pPr>
      <w:r>
        <w:t xml:space="preserve">(подпункт 1 пункта 1 и пункт 2 статьи 1398 Гражданского кодекса Российской Федерации; пункт 3.2.1 Правил рассмотрения и разрешения споров, утвержденных приказом Минобрнауки России и Минэкономразвития России от 30.04.2020 № 644/261)</w:t>
      </w:r>
    </w:p>
    <w:p>
      <w:pPr>
        <w:spacing w:after="160" w:before="200"/>
        <w:jc w:val="center"/>
      </w:pPr>
      <w:r>
        <w:rPr>
          <w:b/>
          <w:bCs/>
        </w:rPr>
        <w:t xml:space="preserve">1. Сведения об оспариваемом патенте</w:t>
      </w:r>
    </w:p>
    <w:p>
      <w:pPr>
        <w:spacing w:after="120" w:line="276"/>
        <w:ind w:firstLine="709"/>
        <w:jc w:val="both"/>
      </w:pPr>
      <w:r>
        <w:t xml:space="preserve">Патент Российской Федерации № [номер] на полезную модель «Кронштейн для навесного фасада» выдан на имя [наименование патентообладателя] с приоритетом от [дата]. Независимый пункт 1 формулы полезной модели содержит следующие признаки (нумерация признаков введена подателем возражения для удобства сопоставления):</w:t>
      </w:r>
    </w:p>
    <w:p>
      <w:pPr>
        <w:spacing w:after="120" w:line="276"/>
        <w:ind w:left="360" w:hanging="360"/>
        <w:jc w:val="both"/>
      </w:pPr>
      <w:r>
        <w:t xml:space="preserve">1. кронштейн для крепления подсистемы навесного вентилируемого фасада к несущему основанию здания;</w:t>
      </w:r>
    </w:p>
    <w:p>
      <w:pPr>
        <w:spacing w:after="120" w:line="276"/>
        <w:ind w:left="360" w:hanging="360"/>
        <w:jc w:val="both"/>
      </w:pPr>
      <w:r>
        <w:t xml:space="preserve">2. опорная пластина с отверстиями под анкерные элементы для крепления к основанию;</w:t>
      </w:r>
    </w:p>
    <w:p>
      <w:pPr>
        <w:spacing w:after="120" w:line="276"/>
        <w:ind w:left="360" w:hanging="360"/>
        <w:jc w:val="both"/>
      </w:pPr>
      <w:r>
        <w:t xml:space="preserve">3. консоль Г-образного профиля, жестко соединенная с опорной пластиной;</w:t>
      </w:r>
    </w:p>
    <w:p>
      <w:pPr>
        <w:spacing w:after="120" w:line="276"/>
        <w:ind w:left="360" w:hanging="360"/>
        <w:jc w:val="both"/>
      </w:pPr>
      <w:r>
        <w:t xml:space="preserve">4. продольные пазы на консоли, обеспечивающие регулировку вылета направляющей;</w:t>
      </w:r>
    </w:p>
    <w:p>
      <w:pPr>
        <w:spacing w:after="120" w:line="276"/>
        <w:ind w:left="360" w:hanging="360"/>
        <w:jc w:val="both"/>
      </w:pPr>
      <w:r>
        <w:t xml:space="preserve">5. ребро жесткости в зоне сопряжения консоли и опорной пластины;</w:t>
      </w:r>
    </w:p>
    <w:p>
      <w:pPr>
        <w:spacing w:after="120" w:line="276"/>
        <w:ind w:left="360" w:hanging="360"/>
        <w:jc w:val="both"/>
      </w:pPr>
      <w:r>
        <w:t xml:space="preserve">6. </w:t>
      </w:r>
      <w:r>
        <w:rPr>
          <w:b/>
          <w:bCs/>
        </w:rPr>
        <w:t xml:space="preserve">отличительный признак:</w:t>
      </w:r>
      <w:r>
        <w:t xml:space="preserve"> крепежные элементы, соединяющие направляющую с консолью, выполнены из коррозионно-стойкой (нержавеющей) стали.</w:t>
      </w:r>
    </w:p>
    <w:p>
      <w:pPr>
        <w:spacing w:after="120" w:line="276"/>
        <w:ind w:firstLine="709"/>
        <w:jc w:val="both"/>
      </w:pPr>
      <w:r>
        <w:t xml:space="preserve">Согласно описанию полезной модели (с. [номер], абзац [номер]) техническим результатом является [упрощение монтажа и обеспечение регулировки вылета направляющей без дополнительных деталей].</w:t>
      </w:r>
    </w:p>
    <w:p>
      <w:pPr>
        <w:spacing w:after="120" w:line="276"/>
        <w:ind w:firstLine="709"/>
        <w:jc w:val="both"/>
      </w:pPr>
      <w:r>
        <w:t xml:space="preserve">Податель возражения является производителем фасадных систем и выпускает кронштейны аналогичной конструкции с [год]. Патентообладатель направил подателю возражения претензию от [дата] № [номер] о нарушении исключительного права на полезную модель.</w:t>
      </w:r>
    </w:p>
    <w:p>
      <w:pPr>
        <w:spacing w:after="160" w:before="200"/>
        <w:jc w:val="center"/>
      </w:pPr>
      <w:r>
        <w:rPr>
          <w:b/>
          <w:bCs/>
        </w:rPr>
        <w:t xml:space="preserve">2. Источники информации, включенные в уровень техники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Источник 1.</w:t>
      </w:r>
      <w:r>
        <w:t xml:space="preserve"> Каталог продукции «[наименование каталога]», изд. [наименование третьего лица], [город], 2019, [количество] с., тираж [количество] экз. Дата выпуска подтверждается договором с типографией от [дата] № [номер], товарной накладной на тираж от [дата] № [номер] и письмом организатора выставки «[наименование]» о распространении каталога среди посетителей [даты проведения]. В соответствии с пунктом 52 Правил ПМ, утвержденных приказом Минэкономразвития России от 30.09.2015 № 701, датой включения каталога в уровень техники является дата его выпуска — [дата], а при невозможности ее установления — 31.12.2019, то есть в любом случае ранее даты приоритета оспариваемой полезной модели. Электронная версия каталога, размещенная на сайте [адрес сайта], зафиксирована нотариальным протоколом осмотра от [дата] № [номер].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Источник 2.</w:t>
      </w:r>
      <w:r>
        <w:t xml:space="preserve"> Патент Российской Федерации на полезную модель № [номер] «[название]», опубликован [дата], то есть до даты приоритета оспариваемой полезной модели.</w:t>
      </w:r>
    </w:p>
    <w:p>
      <w:pPr>
        <w:spacing w:after="160" w:before="200"/>
        <w:jc w:val="center"/>
      </w:pPr>
      <w:r>
        <w:rPr>
          <w:b/>
          <w:bCs/>
        </w:rPr>
        <w:t xml:space="preserve">3. Сопоставительный анализ</w:t>
      </w:r>
    </w:p>
    <w:p>
      <w:pPr>
        <w:spacing w:after="120" w:line="276"/>
        <w:ind w:firstLine="709"/>
        <w:jc w:val="both"/>
      </w:pPr>
      <w:r>
        <w:t xml:space="preserve">Каждому из источников 1 и 2 в отдельности присущи все существенные признаки независимого пункта 1 формулы оспариваемой полезной модели:</w:t>
      </w:r>
    </w:p>
    <w:p>
      <w:pPr>
        <w:spacing w:after="120" w:line="276"/>
        <w:ind w:left="360" w:hanging="360"/>
        <w:jc w:val="both"/>
      </w:pPr>
      <w:r>
        <w:t xml:space="preserve">1. Признак 1 известен из источника 1 (с. [номер], раздел «[название]», рис. [номер]) и источника 2 (реферат, рис. 1).</w:t>
      </w:r>
    </w:p>
    <w:p>
      <w:pPr>
        <w:spacing w:after="120" w:line="276"/>
        <w:ind w:left="360" w:hanging="360"/>
        <w:jc w:val="both"/>
      </w:pPr>
      <w:r>
        <w:t xml:space="preserve">2. Признак 2 известен из источника 1 (с. [номер], поз. [номер] на рис. [номер]) и источника 2 (описание, с. [номер], поз. [номер]).</w:t>
      </w:r>
    </w:p>
    <w:p>
      <w:pPr>
        <w:spacing w:after="120" w:line="276"/>
        <w:ind w:left="360" w:hanging="360"/>
        <w:jc w:val="both"/>
      </w:pPr>
      <w:r>
        <w:t xml:space="preserve">3. Признак 3 известен из источника 1 (с. [номер], рис. [номер]) и источника 2 (формула, п. 1).</w:t>
      </w:r>
    </w:p>
    <w:p>
      <w:pPr>
        <w:spacing w:after="120" w:line="276"/>
        <w:ind w:left="360" w:hanging="360"/>
        <w:jc w:val="both"/>
      </w:pPr>
      <w:r>
        <w:t xml:space="preserve">4. Признак 4 известен из источника 1 (с. [номер], таблица типоразмеров с указанием диапазона регулировки вылета) и источника 2 (описание, с. [номер]).</w:t>
      </w:r>
    </w:p>
    <w:p>
      <w:pPr>
        <w:spacing w:after="120" w:line="276"/>
        <w:ind w:left="360" w:hanging="360"/>
        <w:jc w:val="both"/>
      </w:pPr>
      <w:r>
        <w:t xml:space="preserve">5. Признак 5 известен из источника 1 (с. [номер], рис. [номер]) и источника 2 (рис. [номер], поз. [номер]).</w:t>
      </w:r>
    </w:p>
    <w:p>
      <w:pPr>
        <w:spacing w:after="120" w:line="276"/>
        <w:ind w:firstLine="709"/>
        <w:jc w:val="both"/>
      </w:pPr>
      <w:r>
        <w:t xml:space="preserve">Признаки зависимых пунктов [номера] формулы также известны из источника 1 (с. [номер]).</w:t>
      </w:r>
    </w:p>
    <w:p>
      <w:pPr>
        <w:spacing w:after="160" w:before="200"/>
        <w:jc w:val="center"/>
      </w:pPr>
      <w:r>
        <w:rPr>
          <w:b/>
          <w:bCs/>
        </w:rPr>
        <w:t xml:space="preserve">4. Отличительный признак не является существенным</w:t>
      </w:r>
    </w:p>
    <w:p>
      <w:pPr>
        <w:spacing w:after="120" w:line="276"/>
        <w:ind w:firstLine="709"/>
        <w:jc w:val="both"/>
      </w:pPr>
      <w:r>
        <w:t xml:space="preserve">Оспариваемая полезная модель отличается от технических решений по источникам 1 и 2 только признаком 6 — материалом крепежных элементов. Этот признак не является существенным.</w:t>
      </w:r>
    </w:p>
    <w:p>
      <w:pPr>
        <w:spacing w:after="120" w:line="276"/>
        <w:ind w:firstLine="709"/>
        <w:jc w:val="both"/>
      </w:pPr>
      <w:r>
        <w:t xml:space="preserve">Согласно пункту 35 Требований к документам заявки на выдачу патента на полезную модель, утвержденных приказом Минэкономразвития России от 30.09.2015 № 701, признаки относятся к существенным, если они влияют на возможность решения технической проблемы и получения технического результата, то есть находятся с ним в причинно-следственной связи.</w:t>
      </w:r>
    </w:p>
    <w:p>
      <w:pPr>
        <w:spacing w:after="120" w:line="276"/>
        <w:ind w:firstLine="709"/>
        <w:jc w:val="both"/>
      </w:pPr>
      <w:r>
        <w:t xml:space="preserve">Технический результат, указанный в описании, — [упрощение монтажа и регулировка вылета направляющей] — достигается конструкцией консоли с продольными пазами (признаки 3 и 4). Описание не содержит сведений о том, как материал крепежных элементов влияет на простоту монтажа или регулировку: он упомянут лишь в перечне признаков (с. [номер]) без экспериментальных данных или теоретического обоснования. Материал крепежа определяет коррозионную стойкость узла, однако такой технический результат в описании не заявлен.</w:t>
      </w:r>
    </w:p>
    <w:p>
      <w:pPr>
        <w:spacing w:after="120" w:line="276"/>
        <w:ind w:firstLine="709"/>
        <w:jc w:val="both"/>
      </w:pPr>
      <w:r>
        <w:t xml:space="preserve">Аналогичный подход изложен в решении Суда по интеллектуальным правам от 05.07.2022 по делу № СИП-66/2022: признак, связь которого с техническим результатом описанием не раскрыта, существенным не признается.</w:t>
      </w:r>
    </w:p>
    <w:p>
      <w:pPr>
        <w:spacing w:after="160" w:before="200"/>
        <w:jc w:val="center"/>
      </w:pPr>
      <w:r>
        <w:rPr>
          <w:b/>
          <w:bCs/>
        </w:rPr>
        <w:t xml:space="preserve">5. Правовое обоснование</w:t>
      </w:r>
    </w:p>
    <w:p>
      <w:pPr>
        <w:spacing w:after="120" w:line="276"/>
        <w:ind w:firstLine="709"/>
        <w:jc w:val="both"/>
      </w:pPr>
      <w:r>
        <w:t xml:space="preserve">В силу пункта 1 статьи 1351 Гражданского кодекса Российской Федерации полезной модели предоставляется правовая охрана, если она является новой и промышленно применимой. Согласно пункту 2 той же статьи полезная модель является новой, если совокупность ее существенных признаков не известна из уровня техники, включающего любые сведения, ставшие общедоступными в мире до даты приоритета полезной модели.</w:t>
      </w:r>
    </w:p>
    <w:p>
      <w:pPr>
        <w:spacing w:after="120" w:line="276"/>
        <w:ind w:firstLine="709"/>
        <w:jc w:val="both"/>
      </w:pPr>
      <w:r>
        <w:t xml:space="preserve">Согласно пункту 69 Правил ПМ полезная модель признается новой, если совокупность ее существенных признаков, представленных в независимом пункте формулы, не известна из сведений, ставших общедоступными в мире до даты приоритета.</w:t>
      </w:r>
    </w:p>
    <w:p>
      <w:pPr>
        <w:spacing w:after="120" w:line="276"/>
        <w:ind w:firstLine="709"/>
        <w:jc w:val="both"/>
      </w:pPr>
      <w:r>
        <w:t xml:space="preserve">Поскольку все существенные признаки независимого пункта 1 формулы известны из каждого из источников 1 и 2, датированных ранее даты приоритета, полезная модель по патенту № [номер] не соответствует условию патентоспособности «новизна». В соответствии с подпунктом 1 пункта 1 и пунктом 2 статьи 1398 Гражданского кодекса Российской Федерации патент может быть оспорен в течение срока его действия путем подачи возражения в Роспатент любым лицом, которому стало известно о нарушении.</w:t>
      </w:r>
    </w:p>
    <w:p>
      <w:pPr>
        <w:spacing w:after="120" w:line="276"/>
        <w:ind w:firstLine="709"/>
        <w:jc w:val="both"/>
      </w:pPr>
      <w:r>
        <w:t xml:space="preserve">Пошлина за рассмотрение возражения в размере [5 000] руб. уплачена по подпункту 1.27.3 приложения № 1 к Положению о патентных и иных пошлинах, утвержденному постановлением Правительства Российской Федерации от 10.12.2008 № 941.</w:t>
      </w:r>
    </w:p>
    <w:p>
      <w:pPr>
        <w:spacing w:after="120" w:line="276"/>
        <w:ind w:firstLine="709"/>
        <w:jc w:val="both"/>
      </w:pPr>
      <w:r>
        <w:t xml:space="preserve">На основании изложенного,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Удовлетворить возражение и признать патент Российской Федерации на полезную модель № [номер] «Кронштейн для навесного фасада» недействительным полностью ввиду несоответствия полезной модели условию патентоспособности «новизна».</w:t>
      </w:r>
    </w:p>
    <w:p>
      <w:pPr>
        <w:spacing w:after="120" w:line="276"/>
        <w:ind w:left="360" w:hanging="360"/>
        <w:jc w:val="both"/>
      </w:pPr>
      <w:r>
        <w:t xml:space="preserve">2. Провести заседание коллегии с участием специалиста [ФИО], [должность, организация, стаж в области конструирования фасадных систем], для дачи пояснений по конструкции противопоставленных кронштейнов и по роли материала крепежных элементов (пункт 36 Правил), а в случае сомнений коллегии в несущественности признака 6 — запросить заключение независимого эксперта (пункт 43 Правил).</w:t>
      </w:r>
    </w:p>
    <w:p>
      <w:pPr>
        <w:spacing w:after="120" w:line="276"/>
        <w:ind w:left="360" w:hanging="360"/>
        <w:jc w:val="both"/>
      </w:pPr>
      <w:r>
        <w:t xml:space="preserve">3. Обеспечить участие представителя [ФИО] в заседании коллегии путем видеоконференцсвязи (пункт 27 Правил): e-mail [адрес], тел. [номер].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каталога продукции «[наименование каталога]», 2019 (полностью, с выходными данными).</w:t>
      </w:r>
    </w:p>
    <w:p>
      <w:pPr>
        <w:spacing w:after="120" w:line="276"/>
        <w:ind w:left="360" w:hanging="360"/>
        <w:jc w:val="both"/>
      </w:pPr>
      <w:r>
        <w:t xml:space="preserve">2. Копия договора с типографией от [дата] № [номер] и товарной накладной на тираж от [дата] № [номер].</w:t>
      </w:r>
    </w:p>
    <w:p>
      <w:pPr>
        <w:spacing w:after="120" w:line="276"/>
        <w:ind w:left="360" w:hanging="360"/>
        <w:jc w:val="both"/>
      </w:pPr>
      <w:r>
        <w:t xml:space="preserve">3. Письмо организатора выставки «[наименование]» от [дата] № [номер].</w:t>
      </w:r>
    </w:p>
    <w:p>
      <w:pPr>
        <w:spacing w:after="120" w:line="276"/>
        <w:ind w:left="360" w:hanging="360"/>
        <w:jc w:val="both"/>
      </w:pPr>
      <w:r>
        <w:t xml:space="preserve">4. Нотариальный протокол осмотра сайта [адрес сайта] от [дата] № [номер].</w:t>
      </w:r>
    </w:p>
    <w:p>
      <w:pPr>
        <w:spacing w:after="120" w:line="276"/>
        <w:ind w:left="360" w:hanging="360"/>
        <w:jc w:val="both"/>
      </w:pPr>
      <w:r>
        <w:t xml:space="preserve">5. Копия описания к патенту Российской Федерации на полезную модель № [номер] (источник 2).</w:t>
      </w:r>
    </w:p>
    <w:p>
      <w:pPr>
        <w:spacing w:after="120" w:line="276"/>
        <w:ind w:left="360" w:hanging="360"/>
        <w:jc w:val="both"/>
      </w:pPr>
      <w:r>
        <w:t xml:space="preserve">6. Заключение специалиста [ФИО] от [дата].</w:t>
      </w:r>
    </w:p>
    <w:p>
      <w:pPr>
        <w:spacing w:after="120" w:line="276"/>
        <w:ind w:left="360" w:hanging="360"/>
        <w:jc w:val="both"/>
      </w:pPr>
      <w:r>
        <w:t xml:space="preserve">7. Копия претензии патентообладателя от [дата] № [номер].</w:t>
      </w:r>
    </w:p>
    <w:p>
      <w:pPr>
        <w:spacing w:after="120" w:line="276"/>
        <w:ind w:left="360" w:hanging="360"/>
        <w:jc w:val="both"/>
      </w:pPr>
      <w:r>
        <w:t xml:space="preserve">8. Доверенность представителя от [дата] № [номер].</w:t>
      </w:r>
    </w:p>
    <w:p>
      <w:pPr>
        <w:spacing w:after="120" w:line="276"/>
        <w:ind w:left="360" w:hanging="360"/>
        <w:jc w:val="both"/>
      </w:pPr>
      <w:r>
        <w:t xml:space="preserve">9. Документ об уплате пошлины от [дата] № [номер].</w:t>
      </w:r>
    </w:p>
    <w:p>
      <w:pPr>
        <w:spacing w:after="120" w:line="276"/>
        <w:ind w:left="360" w:hanging="360"/>
        <w:jc w:val="both"/>
      </w:pPr>
      <w:r>
        <w:t xml:space="preserve">10. Копия возражения и приложений в формате PDF на электронном носителе (при подаче на бумаге).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ООО «[наименование]» по доверенности, патентный поверенный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2026-10-19T09:55:18.022Z</dcterms:created>
  <dcterms:modified xsi:type="dcterms:W3CDTF">2026-10-19T09:55:18.022Z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