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регионального оператора],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«[наименование]», ИНН [ИНН], ОГРН [ОГРН], адрес: [адрес], эл. почта: [e-mail], тел.: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Лицо, о привлечении которого заявлено ходатайство:</w:t>
      </w:r>
      <w:r>
        <w:t xml:space="preserve"> [наименование собственника торгового центра],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640 000 руб. (основной долг [сумма] руб., неустойка [сумма] руб.)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 на исковое заявление о взыскании платы за услуги по обращению с твердыми коммунальными отходами</w:t>
      </w:r>
    </w:p>
    <w:p>
      <w:pPr>
        <w:spacing w:after="160" w:before="200"/>
        <w:jc w:val="center"/>
      </w:pPr>
      <w:r>
        <w:rPr>
          <w:b/>
          <w:bCs/>
        </w:rPr>
        <w:t xml:space="preserve">с ходатайствами об истребовании доказательств, о привлечении третьего лица и о рассмотрении дела по общим правилам искового производства</w:t>
      </w:r>
    </w:p>
    <w:p>
      <w:pPr>
        <w:spacing w:after="120" w:line="276"/>
        <w:ind w:firstLine="709"/>
        <w:jc w:val="both"/>
      </w:pPr>
      <w:r>
        <w:t xml:space="preserve">Истец просит взыскать с ООО «[наименование]» (далее – Ответчик) задолженность за услуги по обращению с твердыми коммунальными отходами (далее – ТКО) за период с 01.01.2023 по 31.12.2025 и неустойку, всего 640 000 руб. Расчёт выполнен по нормативу накопления для категории «[категория из расчёта истца]» исходя из площади [площадь из расчёта истца] кв. м. Ответчик с иском не согласен полностью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Ответчик арендует торговый павильон площадью [площадь по договору аренды] кв. м в торговом центре по адресу: [адрес] (далее – ТЦ) по договору аренды от [дата] № [номер], заключённому с [наименование собственника ТЦ] (далее – Арендодатель). Собственником здания ТЦ по данным ЕГРН является Арендодатель.</w:t>
      </w:r>
    </w:p>
    <w:p>
      <w:pPr>
        <w:spacing w:after="120" w:line="276"/>
        <w:ind w:left="360" w:hanging="360"/>
        <w:jc w:val="both"/>
      </w:pPr>
      <w:r>
        <w:t xml:space="preserve">2. По пункту [номер] договора аренды сбор и вывоз ТКО, образующихся у арендаторов, обеспечивает Арендодатель, а его расходы входят в эксплуатационный платёж арендатора. Обязанность арендатора заключать договор с региональным оператором договором аренды не предусмотрена.</w:t>
      </w:r>
    </w:p>
    <w:p>
      <w:pPr>
        <w:spacing w:after="120" w:line="276"/>
        <w:ind w:left="360" w:hanging="360"/>
        <w:jc w:val="both"/>
      </w:pPr>
      <w:r>
        <w:t xml:space="preserve">3. Арендодатель заключил с Истцом договор на оказание услуг по обращению с ТКО от [дата] № [номер]. В приложении к нему указана контейнерная площадка ТЦ по адресу: [адрес], включённая в реестр мест (площадок) накопления ТКО под № [номер], объём контейнеров [объём] куб. м, периодичность вывоза [периодичность]. Арендаторы ТЦ, включая Ответчика, складируют отходы на этой площадке в соответствии с [регламент ТЦ / письмо Арендодателя от дата № номер].</w:t>
      </w:r>
    </w:p>
    <w:p>
      <w:pPr>
        <w:spacing w:after="120" w:line="276"/>
        <w:ind w:left="360" w:hanging="360"/>
        <w:jc w:val="both"/>
      </w:pPr>
      <w:r>
        <w:t xml:space="preserve">4. Ответчик заявку на заключение договора Истцу не направлял, проект договора не подписывал. Иной контейнерной площадки, предназначенной для павильона Ответчика, в реестре нет; павильон в качестве источника образования отходов в территориальную схему обращения с отходами [субъект РФ] не включён (выписки прилагаются).</w:t>
      </w:r>
    </w:p>
    <w:p>
      <w:pPr>
        <w:spacing w:after="160" w:before="200"/>
        <w:jc w:val="center"/>
      </w:pPr>
      <w:r>
        <w:rPr>
          <w:b/>
          <w:bCs/>
        </w:rPr>
        <w:t xml:space="preserve">2. Ответчик не является потребителем услуги Истца</w:t>
      </w:r>
    </w:p>
    <w:p>
      <w:pPr>
        <w:spacing w:after="120" w:line="276"/>
        <w:ind w:left="360" w:hanging="360"/>
        <w:jc w:val="both"/>
      </w:pPr>
      <w:r>
        <w:t xml:space="preserve">5. Региональный оператор заключает договоры с собственниками ТКО (п. 1 и 4 ст. 24.7 Федерального закона от 24.06.1998 № 89-ФЗ). Применительно к нежилым объектам договор заключается с лицом, владеющим объектом (п. 8(1) Правил обращения с ТКО, утв. постановлением Правительства РФ от 12.11.2016 № 1156, – за период до 31.08.2025), а с пользователем объекта – только если это предусмотрено договором с владельцем (подп. «г» п. 8 Правил обращения с ТКО, утв. постановлением Правительства РФ от 07.03.2025 № 293, – с 01.09.2025).</w:t>
      </w:r>
    </w:p>
    <w:p>
      <w:pPr>
        <w:spacing w:after="120" w:line="276"/>
        <w:ind w:left="360" w:hanging="360"/>
        <w:jc w:val="both"/>
      </w:pPr>
      <w:r>
        <w:t xml:space="preserve">6. Согласно п. 7 Обзора судебной практики по делам, связанным с обращением с ТКО (утв. Президиумом Верховного Суда РФ 13.12.2023), собственником ТКО презюмируется собственник объекта недвижимости. Презумпция опровергается договором арендатора с региональным оператором (п. 7.1, 7.2 Обзора) либо при условиях п. 7.3 Обзора, когда арендодатель уведомил оператора о передаче объекта в аренду. Ни одного из этих обстоятельств нет: договора с Истцом у Ответчика нет, Арендодатель Истца об аренде не уведомлял, а договор аренды прямо возлагает обращение с ТКО на Арендодателя.</w:t>
      </w:r>
    </w:p>
    <w:p>
      <w:pPr>
        <w:spacing w:after="160" w:before="200"/>
        <w:jc w:val="center"/>
      </w:pPr>
      <w:r>
        <w:rPr>
          <w:b/>
          <w:bCs/>
        </w:rPr>
        <w:t xml:space="preserve">3. Требование ведёт к повторной оплате одних и тех же отходов</w:t>
      </w:r>
    </w:p>
    <w:p>
      <w:pPr>
        <w:spacing w:after="120" w:line="276"/>
        <w:ind w:left="360" w:hanging="360"/>
        <w:jc w:val="both"/>
      </w:pPr>
      <w:r>
        <w:t xml:space="preserve">7. Отходы павильона Ответчика складируются на площадке ТЦ и вывозятся Истцом в рамках договора с Арендодателем, который оплачен в полном объёме (акты и платёжные поручения прилагаются). Начисление Ответчику платы по нормативу на площадь павильона означает повторное взыскание за тот же объём ТКО.</w:t>
      </w:r>
    </w:p>
    <w:p>
      <w:pPr>
        <w:spacing w:after="120" w:line="276"/>
        <w:ind w:left="360" w:hanging="360"/>
        <w:jc w:val="both"/>
      </w:pPr>
      <w:r>
        <w:t xml:space="preserve">8. Фактический объём вывоза с площадки ТЦ по договору Арендодателя за спорный период составил [объём] куб. м, тогда как суммарный объём, начисленный Истцом Арендодателю и Ответчику, – [объём] куб. м. Разница превышает физически вывезенный объём и подтверждает двойной учёт. Договор оказания услуг по обращению с ТКО не является абонентским; если собственник отходов доказал, что услуга ему не оказывалась, в иске отказывается (п. 15 Обзора).</w:t>
      </w:r>
    </w:p>
    <w:p>
      <w:pPr>
        <w:spacing w:after="160" w:before="200"/>
        <w:jc w:val="center"/>
      </w:pPr>
      <w:r>
        <w:rPr>
          <w:b/>
          <w:bCs/>
        </w:rPr>
        <w:t xml:space="preserve">4. Истец не доказал оказание услуг Ответчику</w:t>
      </w:r>
    </w:p>
    <w:p>
      <w:pPr>
        <w:spacing w:after="120" w:line="276"/>
        <w:ind w:left="360" w:hanging="360"/>
        <w:jc w:val="both"/>
      </w:pPr>
      <w:r>
        <w:t xml:space="preserve">9. Договор с Ответчиком в виде единого документа не подписан, поэтому место накопления определяется территориальной схемой. Если место накопления и (или) источник образования отходов в схему не включены, региональный оператор должен доказать реальное оказание услуги конкретному потребителю (п. 10 ст. 24.6 Закона № 89-ФЗ, п. 14 Обзора). Представленные Истцом односторонние УПД такими доказательствами не являются (ст. 65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5. Возражения против расчёта (заявляются субсидиарно)</w:t>
      </w:r>
    </w:p>
    <w:p>
      <w:pPr>
        <w:spacing w:after="120" w:line="276"/>
        <w:ind w:left="360" w:hanging="360"/>
        <w:jc w:val="both"/>
      </w:pPr>
      <w:r>
        <w:t xml:space="preserve">10. Истец применил площадь [площадь из расчёта истца] кв. м, тогда как по договору аренды Ответчик занимает [площадь по договору аренды] кв. м.</w:t>
      </w:r>
    </w:p>
    <w:p>
      <w:pPr>
        <w:spacing w:after="120" w:line="276"/>
        <w:ind w:left="360" w:hanging="360"/>
        <w:jc w:val="both"/>
      </w:pPr>
      <w:r>
        <w:t xml:space="preserve">11. Истец применил норматив для категории «[категория]», не соответствующей фактической деятельности Ответчика ([вид деятельности по ОКВЭД]).</w:t>
      </w:r>
    </w:p>
    <w:p>
      <w:pPr>
        <w:spacing w:after="120" w:line="276"/>
        <w:ind w:left="360" w:hanging="360"/>
        <w:jc w:val="both"/>
      </w:pPr>
      <w:r>
        <w:t xml:space="preserve">12. Истец не учёл, что с 01.09.2024 коммерческий учёт ведётся по Правилам, утв. постановлением Правительства РФ от 24.05.2024 № 671, а тариф менялся ежегодно ([реквизиты тарифных решений]).</w:t>
      </w:r>
    </w:p>
    <w:p>
      <w:pPr>
        <w:spacing w:after="120" w:line="276"/>
        <w:ind w:left="360" w:hanging="360"/>
        <w:jc w:val="both"/>
      </w:pPr>
      <w:r>
        <w:t xml:space="preserve">13. Требования по платежам со сроком оплаты до [дата] заявлены за пределами трёхлетнего срока исковой давности с учётом срока претензионного порядка (ст. 196, 200, п. 3 ст. 202 ГК РФ). Ответчик заявляет о применении исковой давности (п. 2 ст. 199 ГК РФ).</w:t>
      </w:r>
    </w:p>
    <w:p>
      <w:pPr>
        <w:spacing w:after="120" w:line="276"/>
        <w:ind w:left="360" w:hanging="360"/>
        <w:jc w:val="both"/>
      </w:pPr>
      <w:r>
        <w:t xml:space="preserve">14. Помесячный контррасчёт с разбивкой на периоды до 31.08.2024, с 01.09.2024 по 31.08.2025 и с 01.09.2025 прилагается. По расчёту Ответчика при отказе в применении доводов разделов 2–4 размер требования не может превышать [сумма] руб.</w:t>
      </w:r>
    </w:p>
    <w:p>
      <w:pPr>
        <w:spacing w:after="120" w:line="276"/>
        <w:ind w:left="360" w:hanging="360"/>
        <w:jc w:val="both"/>
      </w:pPr>
      <w:r>
        <w:t xml:space="preserve">15. Неустойка в размере 1/130 ключевой ставки предусмотрена типовым договором (п. 22 формы по постановлению № 1156, п. 19 формы по постановлению № 293), а не ст. 24.7 Закона № 89-ФЗ. При отсутствии долга оснований для неё нет. Субсидиарно Ответчик просит снизить неустойку по ст. 333 ГК РФ как явно несоразмерную: [краткое обоснование].</w:t>
      </w:r>
    </w:p>
    <w:p>
      <w:pPr>
        <w:spacing w:after="160" w:before="200"/>
        <w:jc w:val="center"/>
      </w:pPr>
      <w:r>
        <w:rPr>
          <w:b/>
          <w:bCs/>
        </w:rPr>
        <w:t xml:space="preserve">6. Ходатайства</w:t>
      </w:r>
    </w:p>
    <w:p>
      <w:pPr>
        <w:spacing w:after="120" w:line="276"/>
        <w:ind w:left="360" w:hanging="360"/>
        <w:jc w:val="both"/>
      </w:pPr>
      <w:r>
        <w:t xml:space="preserve">16. Ответчик [дата] направил Истцу запрос о предоставлении данных спутниковой навигации мусоровозов (п. 47 Правил № 293), ответ не получен. Эти доказательства находятся у Истца, самостоятельно получить их Ответчик не может; они подтвердят, принимались ли отходы с места накопления, относящегося к павильону, и с какой площадки фактически вёлся вывоз (ч. 4 ст. 66 АПК РФ).</w:t>
      </w:r>
    </w:p>
    <w:p>
      <w:pPr>
        <w:spacing w:after="120" w:line="276"/>
        <w:ind w:left="360" w:hanging="360"/>
        <w:jc w:val="both"/>
      </w:pPr>
      <w:r>
        <w:t xml:space="preserve">17. Решение по делу может повлиять на права и обязанности Арендодателя по договору с Истцом и по договору аренды (ч. 1 ст. 51 АПК РФ).</w:t>
      </w:r>
    </w:p>
    <w:p>
      <w:pPr>
        <w:spacing w:after="120" w:line="276"/>
        <w:ind w:left="360" w:hanging="360"/>
        <w:jc w:val="both"/>
      </w:pPr>
      <w:r>
        <w:t xml:space="preserve">18. Для рассмотрения дела необходимо истребовать дополнительные доказательства и привлечь третье лицо, поэтому оно подлежит рассмотрению по общим правилам искового производства (п. 2 и 3 ч. 5 ст. 227 АПК РФ).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иска отказать полностью.</w:t>
      </w:r>
    </w:p>
    <w:p>
      <w:pPr>
        <w:spacing w:after="120" w:line="276"/>
        <w:ind w:left="360" w:hanging="360"/>
        <w:jc w:val="both"/>
      </w:pPr>
      <w:r>
        <w:t xml:space="preserve">2. Применить исковую давность к требованиям по платежам со сроком оплаты до [дата].</w:t>
      </w:r>
    </w:p>
    <w:p>
      <w:pPr>
        <w:spacing w:after="120" w:line="276"/>
        <w:ind w:left="360" w:hanging="360"/>
        <w:jc w:val="both"/>
      </w:pPr>
      <w:r>
        <w:t xml:space="preserve">3. При удовлетворении иска в какой-либо части – уменьшить неустойку на основании ст. 333 ГК РФ.</w:t>
      </w:r>
    </w:p>
    <w:p>
      <w:pPr>
        <w:spacing w:after="120" w:line="276"/>
        <w:ind w:left="360" w:hanging="360"/>
        <w:jc w:val="both"/>
      </w:pPr>
      <w:r>
        <w:t xml:space="preserve">4. Истребовать у Истца за период с 01.01.2023 по 31.12.2025: данные аппаратуры спутниковой навигации (ГЛОНАСС) мусоровозов, обслуживавших маршруты через адрес [адрес]; маршрутные журналы и путевые листы; сведения о месте (площадке) накопления, с которого, по мнению Истца, принимались ТКО Ответчика.</w:t>
      </w:r>
    </w:p>
    <w:p>
      <w:pPr>
        <w:spacing w:after="120" w:line="276"/>
        <w:ind w:left="360" w:hanging="360"/>
        <w:jc w:val="both"/>
      </w:pPr>
      <w:r>
        <w:t xml:space="preserve">5. Привлечь к участию в деле в качестве третьего лица, не заявляющего самостоятельных требований, [наименование собственника ТЦ].</w:t>
      </w:r>
    </w:p>
    <w:p>
      <w:pPr>
        <w:spacing w:after="120" w:line="276"/>
        <w:ind w:left="360" w:hanging="360"/>
        <w:jc w:val="both"/>
      </w:pPr>
      <w:r>
        <w:t xml:space="preserve">6. Перейти к рассмотрению дела по общим правилам искового производства.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 аренды от [дата] № [номер] с приложениями.</w:t>
      </w:r>
    </w:p>
    <w:p>
      <w:pPr>
        <w:spacing w:after="120" w:line="276"/>
        <w:ind w:left="360" w:hanging="360"/>
        <w:jc w:val="both"/>
      </w:pPr>
      <w:r>
        <w:t xml:space="preserve">2. Выписка из ЕГРН на здание ТЦ.</w:t>
      </w:r>
    </w:p>
    <w:p>
      <w:pPr>
        <w:spacing w:after="120" w:line="276"/>
        <w:ind w:left="360" w:hanging="360"/>
        <w:jc w:val="both"/>
      </w:pPr>
      <w:r>
        <w:t xml:space="preserve">3. Договор Арендодателя с Истцом от [дата] № [номер] с приложением о месте накопления; акты и платёжные поручения за спорный период (копии, полученные от Арендодателя).</w:t>
      </w:r>
    </w:p>
    <w:p>
      <w:pPr>
        <w:spacing w:after="120" w:line="276"/>
        <w:ind w:left="360" w:hanging="360"/>
        <w:jc w:val="both"/>
      </w:pPr>
      <w:r>
        <w:t xml:space="preserve">4. [Регламент ТЦ / письмо Арендодателя] о складировании отходов арендаторов.</w:t>
      </w:r>
    </w:p>
    <w:p>
      <w:pPr>
        <w:spacing w:after="120" w:line="276"/>
        <w:ind w:left="360" w:hanging="360"/>
        <w:jc w:val="both"/>
      </w:pPr>
      <w:r>
        <w:t xml:space="preserve">5. Счета Арендодателя на эксплуатационные платежи за спорный период.</w:t>
      </w:r>
    </w:p>
    <w:p>
      <w:pPr>
        <w:spacing w:after="120" w:line="276"/>
        <w:ind w:left="360" w:hanging="360"/>
        <w:jc w:val="both"/>
      </w:pPr>
      <w:r>
        <w:t xml:space="preserve">6. Выписка из реестра мест (площадок) накопления ТКО и из территориальной схемы обращения с отходами.</w:t>
      </w:r>
    </w:p>
    <w:p>
      <w:pPr>
        <w:spacing w:after="120" w:line="276"/>
        <w:ind w:left="360" w:hanging="360"/>
        <w:jc w:val="both"/>
      </w:pPr>
      <w:r>
        <w:t xml:space="preserve">7. Запрос Ответчика Истцу о данных спутниковой навигации от [дата] и доказательства его направления.</w:t>
      </w:r>
    </w:p>
    <w:p>
      <w:pPr>
        <w:spacing w:after="120" w:line="276"/>
        <w:ind w:left="360" w:hanging="360"/>
        <w:jc w:val="both"/>
      </w:pPr>
      <w:r>
        <w:t xml:space="preserve">8. Помесячный контррасчёт.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отзыва Истцу.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/ представитель по доверенности</w:t>
      </w:r>
    </w:p>
    <w:p>
      <w:pPr>
        <w:spacing w:after="120" w:line="276"/>
        <w:ind w:firstLine="709"/>
        <w:jc w:val="both"/>
      </w:pPr>
      <w:r>
        <w:t xml:space="preserve">_[подпись]_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2026-10-19T14:07:15.101Z</dcterms:created>
  <dcterms:modified xsi:type="dcterms:W3CDTF">2026-10-19T14:07:15.101Z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