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[наименование таможни]</w:t>
      </w:r>
    </w:p>
    <w:p>
      <w:pPr>
        <w:spacing w:after="0"/>
        <w:jc w:val="right"/>
      </w:pPr>
      <w:r>
        <w:t xml:space="preserve">адрес: [адрес таможни]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Оспариваемое решение: решение о классификации товара от [дата] № [РКТ-номер]</w:t>
      </w:r>
    </w:p>
    <w:p>
      <w:pPr>
        <w:spacing w:after="0"/>
        <w:jc w:val="right"/>
      </w:pPr>
      <w:r>
        <w:t xml:space="preserve">Сумма доначисленных платежей: [3 100 000] руб.</w:t>
      </w:r>
    </w:p>
    <w:p>
      <w:pPr>
        <w:spacing w:after="0"/>
        <w:jc w:val="right"/>
      </w:pPr>
      <w:r>
        <w:t xml:space="preserve">Госпошлина: 50 000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решения таможенного органа о классификации товара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ввоза и декларирования</w:t>
      </w:r>
    </w:p>
    <w:p>
      <w:pPr>
        <w:spacing w:after="120" w:line="276"/>
        <w:ind w:firstLine="709"/>
        <w:jc w:val="both"/>
      </w:pPr>
      <w:r>
        <w:t xml:space="preserve">По внешнеторговому контракту от [дата] № [номер], заключённому с [наименование иностранного поставщика, страна], Заявитель ввёз на таможенную территорию ЕАЭС и задекларировал по декларации на товары № [номер ДТ] товар: «[описание из графы 31 ДТ, например: агрегат насосный центробежный промышленный, состоящий из насоса и электродвигателя на общей раме, модель [модель], производитель [производитель]]».</w:t>
      </w:r>
    </w:p>
    <w:p>
      <w:pPr>
        <w:spacing w:after="120" w:line="276"/>
        <w:ind w:firstLine="709"/>
        <w:jc w:val="both"/>
      </w:pPr>
      <w:r>
        <w:t xml:space="preserve">В графе 33 ДТ заявлен код ТН ВЭД ЕАЭС [код в позиции 8413], ставка ввозной таможенной пошлины [ставка] %. Товар выпущен [дата выпуска].</w:t>
      </w:r>
    </w:p>
    <w:p>
      <w:pPr>
        <w:spacing w:after="120" w:line="276"/>
        <w:ind w:firstLine="709"/>
        <w:jc w:val="both"/>
      </w:pPr>
      <w:r>
        <w:t xml:space="preserve">После выпуска [наименование таможни] провела проверку [вид и реквизиты проверки], назначила таможенную экспертизу (решение от [дата] № [номер]) и на основании заключения таможенного эксперта ЭКС — [наименование филиала ЦЭКТУ] от [дата] № [номер] приняла решение о классификации товара от [дата] № [РКТ-номер] в подсубпозиции [код таможни] ТН ВЭД ЕАЭС (ставка [ставка] %).</w:t>
      </w:r>
    </w:p>
    <w:p>
      <w:pPr>
        <w:spacing w:after="120" w:line="276"/>
        <w:ind w:firstLine="709"/>
        <w:jc w:val="both"/>
      </w:pPr>
      <w:r>
        <w:t xml:space="preserve">На основании этого решения в ДТ внесены изменения (решение от [дата] № [номер]), Заявителю доначислены ввозная таможенная пошлина [сумма] руб. и НДС [сумма] руб., всего [3 100 000] руб. Платежи уплачены платёжными поручениями от [дата] № [номер].</w:t>
      </w:r>
    </w:p>
    <w:p>
      <w:pPr>
        <w:spacing w:after="120" w:line="276"/>
        <w:ind w:firstLine="709"/>
        <w:jc w:val="both"/>
      </w:pPr>
      <w:r>
        <w:t xml:space="preserve">О решении Заявитель узнал [дата получения решения], трёхмесячный срок, установленный ч. 4 ст. 198 АПК РФ, не пропущен.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Характеристики товара</w:t>
      </w:r>
    </w:p>
    <w:p>
      <w:pPr>
        <w:spacing w:after="120" w:line="276"/>
        <w:ind w:firstLine="709"/>
        <w:jc w:val="both"/>
      </w:pPr>
      <w:r>
        <w:t xml:space="preserve">Товар представляет собой единый агрегат, конструктивно состоящий из центробежного насоса [марка], асинхронного электродвигателя [мощность] кВт и соединительной муфты, смонтированных на общей раме. Агрегат предназначен для перекачивания [вид жидкости] с подачей [значение] м³/ч и напором [значение] м. Электродвигатель служит только приводом насоса и самостоятельной функции в составе агрегата не выполняет. Эти сведения подтверждаются паспортом изделия, руководством по эксплуатации, данными заводской таблички (шильда) и письмом производителя от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3.1. Согласно правилу 1 Основных правил интерпретации ТН ВЭД (утв. Решением Совета ЕЭК от 14.09.2021 № 80) классификация осуществляется исходя из текстов товарных позиций и соответствующих примечаний к разделам или группам. Согласно правилу 6 сравнимы только субпозиции одного уровня.</w:t>
      </w:r>
    </w:p>
    <w:p>
      <w:pPr>
        <w:spacing w:after="120" w:line="276"/>
        <w:ind w:firstLine="709"/>
        <w:jc w:val="both"/>
      </w:pPr>
      <w:r>
        <w:t xml:space="preserve">3.2. В силу примечания 3 к разделу XVI ТН ВЭД комбинированные машины, состоящие из двух или более машин, соединённых для образования единого целого, классифицируются по компоненту, выполняющему основную функцию. Основная функция агрегата — перекачивание жидкости, что соответствует тексту товарной позиции 8413 «Насосы жидкостные…» и Пояснениям к ней (Рекомендация Коллегии ЕЭК от 07.11.2017 № 21). Даже если признать агрегат многокомпонентным изделием, его основное свойство по правилу 3(б) ОПИ определяет насос, а не привод.</w:t>
      </w:r>
    </w:p>
    <w:p>
      <w:pPr>
        <w:spacing w:after="120" w:line="276"/>
        <w:ind w:firstLine="709"/>
        <w:jc w:val="both"/>
      </w:pPr>
      <w:r>
        <w:t xml:space="preserve">3.3. Таможенный орган, отнеся товар к подсубпозиции [код таможни], не применил примечание 3 к разделу XVI, не указал, какое объективное свойство товара соответствует тексту выбранной им позиции, и не обосновал отказ от позиции 8413. Решения Коллегии ЕЭК о классификации товаров данного вида, принятые по ст. 22 ТК ЕАЭС, в оспариваемом решении не приведены.</w:t>
      </w:r>
    </w:p>
    <w:p>
      <w:pPr>
        <w:spacing w:after="120" w:line="276"/>
        <w:ind w:firstLine="709"/>
        <w:jc w:val="both"/>
      </w:pPr>
      <w:r>
        <w:t xml:space="preserve">3.4. Заключение таможенного эксперта не может служить достаточным доказательством. Эксперт исследовал состав и устройство агрегата, но не установил его функциональное назначение и основную функцию; вывод о коде ТН ВЭД выходит за пределы специальных знаний эксперта, поскольку классификация является правовым вопросом. Согласно п. 4 ст. 20 ТК ЕАЭС коды, указанные в заключениях экспертов, не являются обязательными для классификации. Заключение подлежит оценке наравне с другими доказательствами (ст. 71 АПК РФ).</w:t>
      </w:r>
    </w:p>
    <w:p>
      <w:pPr>
        <w:spacing w:after="120" w:line="276"/>
        <w:ind w:firstLine="709"/>
        <w:jc w:val="both"/>
      </w:pPr>
      <w:r>
        <w:t xml:space="preserve">3.5. Согласно ч. 5 ст. 200 АПК РФ обязанность доказать законность оспариваемого решения возлагается на таможенный орган. Суд проверяет обоснованность классификационного решения исходя из оценки доказательств обеих сторон о признаках товара, имеющих значение для классификации (п. 21 постановления Пленума ВС РФ от 26.11.2019 № 49). Решающее значение имеют объективные характеристики товара, а не его наименование (п. 1 Тематического обзора ВС РФ № 9/2026, утв. Президиумом ВС РФ 17.06.2026).</w:t>
      </w:r>
    </w:p>
    <w:p>
      <w:pPr>
        <w:spacing w:after="120" w:line="276"/>
        <w:ind w:firstLine="709"/>
        <w:jc w:val="both"/>
      </w:pPr>
      <w:r>
        <w:t xml:space="preserve">3.6. Оспариваемое решение не соответствует ст. 20 ТК ЕАЭС и ОПИ, незаконно возлагает на Заявителя обязанность по уплате [3 100 000] руб. и нарушает его права в сфере предпринимательской деятельности (ч. 1 ст. 198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Ходатайство о назначении судебной экспертизы</w:t>
      </w:r>
    </w:p>
    <w:p>
      <w:pPr>
        <w:spacing w:after="120" w:line="276"/>
        <w:ind w:firstLine="709"/>
        <w:jc w:val="both"/>
      </w:pPr>
      <w:r>
        <w:t xml:space="preserve">Для установления функционального назначения и основной функции товара требуются специальные технические знания. На основании ст. 82 АПК РФ Заявитель просит назначить судебную техническую экспертизу и поставить вопросы:</w:t>
      </w:r>
    </w:p>
    <w:p>
      <w:pPr>
        <w:spacing w:after="120" w:line="276"/>
        <w:ind w:left="360" w:hanging="360"/>
        <w:jc w:val="both"/>
      </w:pPr>
      <w:r>
        <w:t xml:space="preserve">1. Из каких функциональных узлов состоит агрегат модели [модель] и какую функцию выполняет каждый из них?</w:t>
      </w:r>
    </w:p>
    <w:p>
      <w:pPr>
        <w:spacing w:after="120" w:line="276"/>
        <w:ind w:left="360" w:hanging="360"/>
        <w:jc w:val="both"/>
      </w:pPr>
      <w:r>
        <w:t xml:space="preserve">2. Какая функция агрегата является основной, а какие — вспомогательными?</w:t>
      </w:r>
    </w:p>
    <w:p>
      <w:pPr>
        <w:spacing w:after="120" w:line="276"/>
        <w:ind w:left="360" w:hanging="360"/>
        <w:jc w:val="both"/>
      </w:pPr>
      <w:r>
        <w:t xml:space="preserve">3. Может ли электродвигатель в составе агрегата выполнять самостоятельную функцию помимо привода насоса?</w:t>
      </w:r>
    </w:p>
    <w:p>
      <w:pPr>
        <w:spacing w:after="120" w:line="276"/>
        <w:ind w:firstLine="709"/>
        <w:jc w:val="both"/>
      </w:pPr>
      <w:r>
        <w:t xml:space="preserve">Проведение экспертизы Заявитель предлагает поручить [экспертная организация 1, адрес] или [экспертная организация 2, адрес]. Денежные средства на оплату экспертизы будут внесены на депозитный счёт суда в размере, указанном экспертной организацией.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198–201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решение [наименование таможни] о классификации товара от [дата] № [РКТ-номер] как не соответствующее ст. 20 ТК ЕАЭС и Основным правилам интерпретации ТН ВЭД.</w:t>
      </w:r>
    </w:p>
    <w:p>
      <w:pPr>
        <w:spacing w:after="120" w:line="276"/>
        <w:ind w:left="360" w:hanging="360"/>
        <w:jc w:val="both"/>
      </w:pPr>
      <w:r>
        <w:t xml:space="preserve">2. Обязать [наименование таможни] устранить допущенные нарушения прав и законных интересов Заявителя в порядке, предусмотренном законодательством о таможенном регулировании.</w:t>
      </w:r>
    </w:p>
    <w:p>
      <w:pPr>
        <w:spacing w:after="120" w:line="276"/>
        <w:ind w:left="360" w:hanging="360"/>
        <w:jc w:val="both"/>
      </w:pPr>
      <w:r>
        <w:t xml:space="preserve">3. Назначить по делу судебную техническую экспертизу с постановкой вопросов, указанных в разделе 4 заявления.</w:t>
      </w:r>
    </w:p>
    <w:p>
      <w:pPr>
        <w:spacing w:after="120" w:line="276"/>
        <w:ind w:left="360" w:hanging="360"/>
        <w:jc w:val="both"/>
      </w:pPr>
      <w:r>
        <w:t xml:space="preserve">4. Взыскать с [наименование таможни] в пользу Заявителя расходы по уплате государственной пошлины в размере 50 000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 о направлении копии заявления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3. Копия ДТ № [номер ДТ].</w:t>
      </w:r>
    </w:p>
    <w:p>
      <w:pPr>
        <w:spacing w:after="120" w:line="276"/>
        <w:ind w:left="360" w:hanging="360"/>
        <w:jc w:val="both"/>
      </w:pPr>
      <w:r>
        <w:t xml:space="preserve">4. Копия решения о классификации товара от [дата] № [РКТ-номер] и решения о внесении изменений в ДТ.</w:t>
      </w:r>
    </w:p>
    <w:p>
      <w:pPr>
        <w:spacing w:after="120" w:line="276"/>
        <w:ind w:left="360" w:hanging="360"/>
        <w:jc w:val="both"/>
      </w:pPr>
      <w:r>
        <w:t xml:space="preserve">5. Копия заключения таможенного эксперта от [дата] № [номер].</w:t>
      </w:r>
    </w:p>
    <w:p>
      <w:pPr>
        <w:spacing w:after="120" w:line="276"/>
        <w:ind w:left="360" w:hanging="360"/>
        <w:jc w:val="both"/>
      </w:pPr>
      <w:r>
        <w:t xml:space="preserve">6. Копии паспорта изделия, руководства по эксплуатации, фотографии шильда.</w:t>
      </w:r>
    </w:p>
    <w:p>
      <w:pPr>
        <w:spacing w:after="120" w:line="276"/>
        <w:ind w:left="360" w:hanging="360"/>
        <w:jc w:val="both"/>
      </w:pPr>
      <w:r>
        <w:t xml:space="preserve">7. Письмо производителя от [дата].</w:t>
      </w:r>
    </w:p>
    <w:p>
      <w:pPr>
        <w:spacing w:after="120" w:line="276"/>
        <w:ind w:left="360" w:hanging="360"/>
        <w:jc w:val="both"/>
      </w:pPr>
      <w:r>
        <w:t xml:space="preserve">8. Копии контракта и инвойса.</w:t>
      </w:r>
    </w:p>
    <w:p>
      <w:pPr>
        <w:spacing w:after="120" w:line="276"/>
        <w:ind w:left="360" w:hanging="360"/>
        <w:jc w:val="both"/>
      </w:pPr>
      <w:r>
        <w:t xml:space="preserve">9. Документы об уплате доначисленных платежей.</w:t>
      </w:r>
    </w:p>
    <w:p>
      <w:pPr>
        <w:spacing w:after="120" w:line="276"/>
        <w:ind w:left="360" w:hanging="360"/>
        <w:jc w:val="both"/>
      </w:pPr>
      <w:r>
        <w:t xml:space="preserve">10. Выписка из ЕГРЮЛ на Заявителя.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_[подпись]_ / [И. О. Фамилия]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2026-10-19T16:20:50.067Z</dcterms:created>
  <dcterms:modified xsi:type="dcterms:W3CDTF">2026-10-19T16:20:50.067Z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