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 по интеллектуальным правам</w:t>
      </w:r>
    </w:p>
    <w:p>
      <w:pPr>
        <w:spacing w:after="0"/>
        <w:jc w:val="right"/>
      </w:pPr>
      <w:r>
        <w:t xml:space="preserve">127254, г. Москва, Огородный проезд, д. 5, стр. 2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правообладателя]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адрес для переписки по Госреестру: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Федеральная служба по интеллектуальной собственности (Роспатент)</w:t>
      </w:r>
    </w:p>
    <w:p>
      <w:pPr>
        <w:spacing w:after="0"/>
        <w:jc w:val="right"/>
      </w:pPr>
      <w:r>
        <w:t xml:space="preserve">125993, г. Москва, Бережковская наб., д. 30, корп. 1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досрочном прекращении правовой охраны товарного знака вследствие его неиспользования в отношении части товаров 30 класса МКТУ</w:t>
      </w:r>
    </w:p>
    <w:p>
      <w:pPr>
        <w:spacing w:after="120" w:line="276"/>
        <w:ind w:firstLine="709"/>
        <w:jc w:val="both"/>
      </w:pPr>
      <w:r>
        <w:t xml:space="preserve">Ответчику принадлежит исключительное право на товарный знак по свидетельству Российской Федерации № [номер] (далее — товарный знак), зарегистрированный [дата регистрации] с приоритетом от [дата приоритета] в отношении товаров [классы] классов МКТУ, в том числе товаров 30 класса: [полный перечень товаров 30 класса по свидетельству].</w:t>
      </w:r>
    </w:p>
    <w:p>
      <w:pPr>
        <w:spacing w:after="120" w:line="276"/>
        <w:ind w:firstLine="709"/>
        <w:jc w:val="both"/>
      </w:pPr>
      <w:r>
        <w:t xml:space="preserve">Истец просит досрочно прекратить правовую охрану товарного знака в отношении следующих товаров 30 класса МКТУ (далее — спорные товары): [например: «печенье; пряники; вафли; крекеры; кондитерские изделия мучные»].</w:t>
      </w:r>
    </w:p>
    <w:p>
      <w:pPr>
        <w:spacing w:after="160" w:before="200"/>
        <w:jc w:val="center"/>
      </w:pPr>
      <w:r>
        <w:rPr>
          <w:b/>
          <w:bCs/>
        </w:rPr>
        <w:t xml:space="preserve">1. Заинтересованность истца</w:t>
      </w:r>
    </w:p>
    <w:p>
      <w:pPr>
        <w:spacing w:after="120" w:line="276"/>
        <w:ind w:firstLine="709"/>
        <w:jc w:val="both"/>
      </w:pPr>
      <w:r>
        <w:t xml:space="preserve">Истец с [год] производит и реализует мучные кондитерские изделия (основной вид деятельности по ОКВЭД [код]), что подтверждается выпиской из ЕГРЮЛ, декларациями о соответствии № [номера], договорами поставки с торговыми сетями № [номера].</w:t>
      </w:r>
    </w:p>
    <w:p>
      <w:pPr>
        <w:spacing w:after="120" w:line="276"/>
        <w:ind w:firstLine="709"/>
        <w:jc w:val="both"/>
      </w:pPr>
      <w:r>
        <w:t xml:space="preserve">[дата] истец подал в Роспатент заявку № [номер] на регистрацию обозначения «[обозначение]» в качестве товарного знака в отношении товаров 30 класса МКТУ «[перечень]». Уведомлением о результатах проверки [или решением об отказе] от [дата] Роспатент указал, что обозначение сходно до степени смешения с товарным знаком ответчика, зарегистрированным в отношении однородных товаров (пункт 6 статьи 1483 ГК РФ).</w:t>
      </w:r>
    </w:p>
    <w:p>
      <w:pPr>
        <w:spacing w:after="120" w:line="276"/>
        <w:ind w:firstLine="709"/>
        <w:jc w:val="both"/>
      </w:pPr>
      <w:r>
        <w:t xml:space="preserve">Истец подготовил выпуск продукции под этим обозначением: [макеты упаковки, договор с типографией, техническая документация]. Тем самым его интерес направлен на использование сходного с товарным знаком обозначения в отношении товаров, однородных спорным, что соответствует пункту 165 постановления Пленума Верховного Суда РФ от 23.04.2019 № 10. Требование заявлено только в отношении товаров, однородных продукции истца.</w:t>
      </w:r>
    </w:p>
    <w:p>
      <w:pPr>
        <w:spacing w:after="160" w:before="200"/>
        <w:jc w:val="center"/>
      </w:pPr>
      <w:r>
        <w:rPr>
          <w:b/>
          <w:bCs/>
        </w:rPr>
        <w:t xml:space="preserve">2. Соблюдение досудебного порядка</w:t>
      </w:r>
    </w:p>
    <w:p>
      <w:pPr>
        <w:spacing w:after="120" w:line="276"/>
        <w:ind w:firstLine="709"/>
        <w:jc w:val="both"/>
      </w:pPr>
      <w:r>
        <w:t xml:space="preserve">Товарный знак зарегистрирован более трёх лет назад, поэтому предложение могло быть направлено (абзац третий пункта 1 статьи 1486 ГК РФ).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предложение заинтересованного лица: обратиться в Роспатент с заявлением об отказе от права на товарный знак в отношении спорных товаров либо заключить с истцом договор об отчуждении исключительного права в отношении этих товаров. Предложение направлено ценными письмами с описью вложения по адресу ответчика из ЕГРЮЛ и по адресу для переписки, указанному в Государственном реестре товарных знаков (почтовые идентификаторы [номера]).</w:t>
      </w:r>
    </w:p>
    <w:p>
      <w:pPr>
        <w:spacing w:after="120" w:line="276"/>
        <w:ind w:firstLine="709"/>
        <w:jc w:val="both"/>
      </w:pPr>
      <w:r>
        <w:t xml:space="preserve">Двухмесячный срок истёк [дата]. Ответчик не подал заявление об отказе от права и не заключил договор, ответа на предложение не направил. Иск подаётся в пределах тридцатидневного срока, установленного абзацем четвёртым пункта 1 статьи 1486 ГК РФ.</w:t>
      </w:r>
    </w:p>
    <w:p>
      <w:pPr>
        <w:spacing w:after="160" w:before="200"/>
        <w:jc w:val="center"/>
      </w:pPr>
      <w:r>
        <w:rPr>
          <w:b/>
          <w:bCs/>
        </w:rPr>
        <w:t xml:space="preserve">3. Неиспользование товарного знака</w:t>
      </w:r>
    </w:p>
    <w:p>
      <w:pPr>
        <w:spacing w:after="120" w:line="276"/>
        <w:ind w:firstLine="709"/>
        <w:jc w:val="both"/>
      </w:pPr>
      <w:r>
        <w:t xml:space="preserve">Проверяемый период — три года, непосредственно предшествующие дню направления предложения: с [дата] по [дата] (абзац шестой пункта 1 статьи 1486 ГК РФ, пункт 163 постановления Пленума № 10).</w:t>
      </w:r>
    </w:p>
    <w:p>
      <w:pPr>
        <w:spacing w:after="120" w:line="276"/>
        <w:ind w:firstLine="709"/>
        <w:jc w:val="both"/>
      </w:pPr>
      <w:r>
        <w:t xml:space="preserve">Истец не располагает сведениями об использовании товарного знака в отношении спорных товаров в этот период. Поиск в розничных сетях, на маркетплейсах [названия] и в сети «Интернет» товаров под товарным знаком не выявил (протокол осмотра от [дата] / акт мониторинга). Сведения о государственной регистрации предоставления права использования товарного знака в Госреестре отсутствуют.</w:t>
      </w:r>
    </w:p>
    <w:p>
      <w:pPr>
        <w:spacing w:after="120" w:line="276"/>
        <w:ind w:firstLine="709"/>
        <w:jc w:val="both"/>
      </w:pPr>
      <w:r>
        <w:t xml:space="preserve">В силу пункта 3 статьи 1486 ГК РФ бремя доказывания использования товарного знака лежит на правообладателе. Использование должно быть фактическим и подтверждаться в отношении каждого спорного товара в том виде, в котором он назван в свидетельстве (пункт 166 постановления Пленума № 10). Обстоятельства, не зависевшие от ответчика и препятствовавшие использованию, истцу не известны.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пункту 1 статьи 1486 ГК РФ правовая охрана товарного знака может быть прекращена досрочно в отношении части товаров вследствие неиспользования товарного знака непрерывно в течение трёх лет. Использованием признаётся применение знака правообладателем, лицензиатом или иным лицом под контролем правообладателя способами, предусмотренными пунктом 2 статьи 1484 ГК РФ (пункт 2 статьи 1486 ГК РФ).</w:t>
      </w:r>
    </w:p>
    <w:p>
      <w:pPr>
        <w:spacing w:after="120" w:line="276"/>
        <w:ind w:firstLine="709"/>
        <w:jc w:val="both"/>
      </w:pPr>
      <w:r>
        <w:t xml:space="preserve">Спор подсуден Суду по интеллектуальным правам в качестве суда первой инстанции (пункт 2 части 4 статьи 34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1484, 1486 ГК РФ, статьями 4, 34,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Досрочно прекратить правовую охрану товарного знака по свидетельству Российской Федерации № [номер] вследствие его неиспользования в отношении товаров 30 класса МКТУ: [перечень спорных товаров].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50 000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искового заявления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Выписка из Государственного реестра товарных знаков в отношении товарного знака № [номер].</w:t>
      </w:r>
    </w:p>
    <w:p>
      <w:pPr>
        <w:spacing w:after="120" w:line="276"/>
        <w:ind w:left="360" w:hanging="360"/>
        <w:jc w:val="both"/>
      </w:pPr>
      <w:r>
        <w:t xml:space="preserve">4. Предложение заинтересованного лица от [дата], описи вложения, почтовые квитанции, отчёты об отслеживании.</w:t>
      </w:r>
    </w:p>
    <w:p>
      <w:pPr>
        <w:spacing w:after="120" w:line="276"/>
        <w:ind w:left="360" w:hanging="360"/>
        <w:jc w:val="both"/>
      </w:pPr>
      <w:r>
        <w:t xml:space="preserve">5. Копия заявки № [номер] и уведомления (решения) Роспатента от [дата].</w:t>
      </w:r>
    </w:p>
    <w:p>
      <w:pPr>
        <w:spacing w:after="120" w:line="276"/>
        <w:ind w:left="360" w:hanging="360"/>
        <w:jc w:val="both"/>
      </w:pPr>
      <w:r>
        <w:t xml:space="preserve">6. Документы о деятельности истца: декларации о соответствии, договоры поставки, макеты упаковки.</w:t>
      </w:r>
    </w:p>
    <w:p>
      <w:pPr>
        <w:spacing w:after="120" w:line="276"/>
        <w:ind w:left="360" w:hanging="360"/>
        <w:jc w:val="both"/>
      </w:pPr>
      <w:r>
        <w:t xml:space="preserve">7. Протокол осмотра (акт мониторинга) от [дата].</w:t>
      </w:r>
    </w:p>
    <w:p>
      <w:pPr>
        <w:spacing w:after="120" w:line="276"/>
        <w:ind w:left="360" w:hanging="360"/>
        <w:jc w:val="both"/>
      </w:pPr>
      <w:r>
        <w:t xml:space="preserve">8.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[если иск подписывает представитель].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2026-10-19T16:28:06.299Z</dcterms:created>
  <dcterms:modified xsi:type="dcterms:W3CDTF">2026-10-19T16:28:06.299Z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