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ООО «[наименование экспедитора]»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ООО «[наименование цементного завода]»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[адрес], тел. [телефон], эл. почта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3 600 000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 НА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неустойки за сверхнормативный простой вагонов</w:t>
      </w:r>
    </w:p>
    <w:p>
      <w:pPr>
        <w:spacing w:after="120" w:line="276"/>
        <w:ind w:firstLine="709"/>
        <w:jc w:val="both"/>
      </w:pPr>
      <w:r>
        <w:t xml:space="preserve">ООО «[наименование экспедитора]» (далее — Истец) предъявило иск к ООО «[наименование цементного завода]» (далее — Ответчик) о взыскании 3 600 000 руб. неустойки за сверхнормативный простой 112 вагонов на станции [станция назначения] в период с [дата] по [дата] на основании п. [номер] договора транспортной экспедиции от [дата] № [номер] (далее — Договор).</w:t>
      </w:r>
    </w:p>
    <w:p>
      <w:pPr>
        <w:spacing w:after="120" w:line="276"/>
        <w:ind w:firstLine="709"/>
        <w:jc w:val="both"/>
      </w:pPr>
      <w:r>
        <w:t xml:space="preserve">Ответчик с иском не согласен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Истец требует договорную неустойку, а не штраф по Уставу железнодорожного транспорта</w:t>
      </w:r>
    </w:p>
    <w:p>
      <w:pPr>
        <w:spacing w:after="120" w:line="276"/>
        <w:ind w:firstLine="709"/>
        <w:jc w:val="both"/>
      </w:pPr>
      <w:r>
        <w:t xml:space="preserve">Вагоны, указанные в расчёте, не принадлежат Истцу: они предоставлены для перевозок АО «[наименование оператора]», что подтверждается [заявками, сведениями из накладных о собственнике вагонов]. Истец действует как экспедитор и основывает требование исключительно на Договоре.</w:t>
      </w:r>
    </w:p>
    <w:p>
      <w:pPr>
        <w:spacing w:after="120" w:line="276"/>
        <w:ind w:firstLine="709"/>
        <w:jc w:val="both"/>
      </w:pPr>
      <w:r>
        <w:t xml:space="preserve">Поэтому к спору не применяются ч. 6 ст. 62, ч. 2 ст. 99 и ст. 100 Федерального закона от 10.01.2003 № 18-ФЗ «Устав железнодорожного транспорта Российской Федерации» (далее — УЖТ), которые устанавливают ответственность перед перевозчиком и владельцем вагонов (п. 14 Обзора судебной практики по спорам, связанным с договорами перевозки груза и транспортной экспедиции, утв. Президиумом Верховного Суда РФ 20.12.2017). Размер и условия ответственности Ответчика перед Истцом определяются только Договором (ст. 330, 331 ГК РФ).</w:t>
      </w:r>
    </w:p>
    <w:p>
      <w:pPr>
        <w:spacing w:after="160" w:before="200"/>
        <w:jc w:val="center"/>
      </w:pPr>
      <w:r>
        <w:rPr>
          <w:b/>
          <w:bCs/>
        </w:rPr>
        <w:t xml:space="preserve">2. Договор не содержит согласованного срока нахождения вагонов у Ответчика</w:t>
      </w:r>
    </w:p>
    <w:p>
      <w:pPr>
        <w:spacing w:after="120" w:line="276"/>
        <w:ind w:firstLine="709"/>
        <w:jc w:val="both"/>
      </w:pPr>
      <w:r>
        <w:t xml:space="preserve">Пункт [номер] Договора предусматривает неустойку в размере [сумма] руб. за сутки «сверхнормативного простоя» вагона, однако ни Договор, ни заявки к нему не устанавливают, какой срок нахождения вагонов на станции назначения является нормативным, с какого события он исчисляется и по каким документам фиксируется.</w:t>
      </w:r>
    </w:p>
    <w:p>
      <w:pPr>
        <w:spacing w:after="120" w:line="276"/>
        <w:ind w:firstLine="709"/>
        <w:jc w:val="both"/>
      </w:pPr>
      <w:r>
        <w:t xml:space="preserve">Истец в расчёте самостоятельно принял норматив [количество] суток с момента прибытия вагона на станцию назначения. Этот норматив сторонами не согласован. Неустойка — способ обеспечения конкретного обязательства (п. 1 ст. 330 ГК РФ); при отсутствии согласованного срока невозможно установить ни факт его нарушения, ни период просрочки. Толкование Договора по правилам ст. 431 ГК РФ не позволяет вывести такой срок из его текста.</w:t>
      </w:r>
    </w:p>
    <w:p>
      <w:pPr>
        <w:spacing w:after="120" w:line="276"/>
        <w:ind w:firstLine="709"/>
        <w:jc w:val="both"/>
      </w:pPr>
      <w:r>
        <w:t xml:space="preserve">Применить вместо договорного условия срок из ч. 6 ст. 62 УЖТ также нельзя: этот срок установлен для законного штрафа владельца вагонов и исчисляется с момента подачи вагонов к месту выгрузки, а не с момента прибытия на станцию.</w:t>
      </w:r>
    </w:p>
    <w:p>
      <w:pPr>
        <w:spacing w:after="160" w:before="200"/>
        <w:jc w:val="center"/>
      </w:pPr>
      <w:r>
        <w:rPr>
          <w:b/>
          <w:bCs/>
        </w:rPr>
        <w:t xml:space="preserve">3. Расчёт основан на данных ГВЦ и не подтверждает время подачи вагонов под выгрузку</w:t>
      </w:r>
    </w:p>
    <w:p>
      <w:pPr>
        <w:spacing w:after="120" w:line="276"/>
        <w:ind w:firstLine="709"/>
        <w:jc w:val="both"/>
      </w:pPr>
      <w:r>
        <w:t xml:space="preserve">Расчёт Истца составлен по справке ГВЦ ОАО «РЖД» от [дата] № [номер], содержащей дату прибытия вагона на станцию и дату его отправления в порожнем состоянии. Эти сведения не показывают: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время подачи вагонов на путь необщего пользования Ответчика к месту выгрузки;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время уведомления перевозчика о завершении грузовой операции;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время фактической уборки вагонов.</w:t>
      </w:r>
    </w:p>
    <w:p>
      <w:pPr>
        <w:spacing w:after="120" w:line="276"/>
        <w:ind w:firstLine="709"/>
        <w:jc w:val="both"/>
      </w:pPr>
      <w:r>
        <w:t xml:space="preserve">Договор не устанавливает, что простой определяется по данным ГВЦ. Ведомости подачи и уборки вагонов (форма ГУ-46) и памятки приёмосдатчика (форма ГУ-45) Истец не представил. Ответчик прилагает имеющиеся у него ведомости за [период]; по ним фактическое время нахождения вагонов под выгрузкой составило от [количество] до [количество] часов. В силу ст. 65 и 68 АПК РФ обязанность доказать период простоя лежит на Истце, а справка ГВЦ не является достаточным доказательством этого обстоятельства.</w:t>
      </w:r>
    </w:p>
    <w:p>
      <w:pPr>
        <w:spacing w:after="160" w:before="200"/>
        <w:jc w:val="center"/>
      </w:pPr>
      <w:r>
        <w:rPr>
          <w:b/>
          <w:bCs/>
        </w:rPr>
        <w:t xml:space="preserve">4. Часть вагонов задержана по вине перевозчика</w:t>
      </w:r>
    </w:p>
    <w:p>
      <w:pPr>
        <w:spacing w:after="120" w:line="276"/>
        <w:ind w:firstLine="709"/>
        <w:jc w:val="both"/>
      </w:pPr>
      <w:r>
        <w:t xml:space="preserve">По [количество] вагонам (перечень — приложение № [номер]) Ответчик своевременно направил перевозчику уведомления о завершении грузовой операции, однако вагоны убраны с пути необщего пользования через [количество] часов после уведомления. Задержка удостоверена актами общей формы от [даты] № [номера] и ведомостями подачи и уборки.</w:t>
      </w:r>
    </w:p>
    <w:p>
      <w:pPr>
        <w:spacing w:after="120" w:line="276"/>
        <w:ind w:firstLine="709"/>
        <w:jc w:val="both"/>
      </w:pPr>
      <w:r>
        <w:t xml:space="preserve">Время ожидания уборки зависит от перевозчика, а не от Ответчика. Должник не отвечает за нарушение, возникшее по обстоятельствам, за которые он не отвечает (п. 2 ст. 330, п. 1 ст. 401 ГК РФ); при просрочке, вызванной действиями лица, привлечённого стороной кредитора, применяются ст. 404 и 406 ГК РФ. Неустойка в сумме [сумма] руб., начисленная за это время, взысканию не подлежит.</w:t>
      </w:r>
    </w:p>
    <w:p>
      <w:pPr>
        <w:spacing w:after="160" w:before="200"/>
        <w:jc w:val="center"/>
      </w:pPr>
      <w:r>
        <w:rPr>
          <w:b/>
          <w:bCs/>
        </w:rPr>
        <w:t xml:space="preserve">5. В расчёте повторно учтены одни и те же вагоны</w:t>
      </w:r>
    </w:p>
    <w:p>
      <w:pPr>
        <w:spacing w:after="120" w:line="276"/>
        <w:ind w:firstLine="709"/>
        <w:jc w:val="both"/>
      </w:pPr>
      <w:r>
        <w:t xml:space="preserve">Вагоны № [номера вагонов] (всего [количество] вагонов) включены в расчёт дважды по одной и той же отправке: [в строках № ... и № ... расчёта / в настоящем иске и в претензии от [дата] № [номер], по которой неустойка уплачена платёжным поручением от [дата] № [номер]]. Сумма повторного начисления составляет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6. Неустойка явно несоразмерна последствиям нарушения</w:t>
      </w:r>
    </w:p>
    <w:p>
      <w:pPr>
        <w:spacing w:after="120" w:line="276"/>
        <w:ind w:firstLine="709"/>
        <w:jc w:val="both"/>
      </w:pPr>
      <w:r>
        <w:t xml:space="preserve">Если суд сочтёт требование обоснованным полностью или в части, Ответчик заявляет о снижении неустойки на основании ст. 333 ГК РФ. Ставка [сумма] руб. за сутки на вагон в [количество] раз превышает плату, которую Истец уплачивает оператору за пользование вагоном по [документ]. Доказательств расходов или претензий оператора к Истцу в связи с простоем не представлено. Сумма неустойки составляет [процент] % от вознаграждения Истца по Договору за тот же период. Соразмерной последствиям нарушения является неустойка не более [сумма] руб. (контррасчёт — приложение № [номер]). Ответчик просит учесть разъяснения п. 69–75 Постановления Пленума Верховного Суда РФ от 24.03.2016 № 7.</w:t>
      </w:r>
    </w:p>
    <w:p>
      <w:pPr>
        <w:spacing w:after="160" w:before="200"/>
        <w:jc w:val="center"/>
      </w:pPr>
      <w:r>
        <w:rPr>
          <w:b/>
          <w:bCs/>
        </w:rPr>
        <w:t xml:space="preserve">7. Ходатайство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Ведомости подачи и уборки и памятки приёмосдатчика за весь спорный период у Ответчика имеются не полностью. Запрос Ответчика от [дата] № [номер] в адрес [наименование структурного подразделения] ОАО «РЖД» оставлен без ответа. Эти документы необходимы для установления периода нахождения вагонов под выгрузкой (ст. 66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330, 331, 333, 401, 404, 406, 431 ГК РФ, ст. 65, 66, 68, 131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удовлетворении исковых требований ООО «[наименование экспедитора]» отказать полностью.</w:t>
      </w:r>
    </w:p>
    <w:p>
      <w:pPr>
        <w:spacing w:after="120" w:line="276"/>
        <w:ind w:left="360" w:hanging="360"/>
        <w:jc w:val="both"/>
      </w:pPr>
      <w:r>
        <w:t xml:space="preserve">2. В случае удовлетворения иска полностью или в части уменьшить размер неустойки на основании ст. 333 ГК РФ до [сумма] руб.</w:t>
      </w:r>
    </w:p>
    <w:p>
      <w:pPr>
        <w:spacing w:after="120" w:line="276"/>
        <w:ind w:left="360" w:hanging="360"/>
        <w:jc w:val="both"/>
      </w:pPr>
      <w:r>
        <w:t xml:space="preserve">3. Истребовать у ОАО «Российские железные дороги» ([наименование структурного подразделения, адрес]) ведомости подачи и уборки вагонов (форма ГУ-46) и памятки приёмосдатчика (форма ГУ-45) по вагонам, указанным в расчёте Истца, за период с [дата] по [дата].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транспортной экспедиции от [дата] № [номер] с заявками.</w:t>
      </w:r>
    </w:p>
    <w:p>
      <w:pPr>
        <w:spacing w:after="120" w:line="276"/>
        <w:ind w:left="360" w:hanging="360"/>
        <w:jc w:val="both"/>
      </w:pPr>
      <w:r>
        <w:t xml:space="preserve">2. Ведомости подачи и уборки вагонов за [период] (копии).</w:t>
      </w:r>
    </w:p>
    <w:p>
      <w:pPr>
        <w:spacing w:after="120" w:line="276"/>
        <w:ind w:left="360" w:hanging="360"/>
        <w:jc w:val="both"/>
      </w:pPr>
      <w:r>
        <w:t xml:space="preserve">3. Уведомления о завершении грузовой операции и акты общей формы (копии).</w:t>
      </w:r>
    </w:p>
    <w:p>
      <w:pPr>
        <w:spacing w:after="120" w:line="276"/>
        <w:ind w:left="360" w:hanging="360"/>
        <w:jc w:val="both"/>
      </w:pPr>
      <w:r>
        <w:t xml:space="preserve">4. Перечень вагонов, задержанных из-за несвоевременной уборки.</w:t>
      </w:r>
    </w:p>
    <w:p>
      <w:pPr>
        <w:spacing w:after="120" w:line="276"/>
        <w:ind w:left="360" w:hanging="360"/>
        <w:jc w:val="both"/>
      </w:pPr>
      <w:r>
        <w:t xml:space="preserve">5. Перечень повторно учтённых вагонов.</w:t>
      </w:r>
    </w:p>
    <w:p>
      <w:pPr>
        <w:spacing w:after="120" w:line="276"/>
        <w:ind w:left="360" w:hanging="360"/>
        <w:jc w:val="both"/>
      </w:pPr>
      <w:r>
        <w:t xml:space="preserve">6. Контррасчёт неустойки.</w:t>
      </w:r>
    </w:p>
    <w:p>
      <w:pPr>
        <w:spacing w:after="120" w:line="276"/>
        <w:ind w:left="360" w:hanging="360"/>
        <w:jc w:val="both"/>
      </w:pPr>
      <w:r>
        <w:t xml:space="preserve">7. Копия запроса в ОАО «РЖД» от [дата] № [номер].</w:t>
      </w:r>
    </w:p>
    <w:p>
      <w:pPr>
        <w:spacing w:after="120" w:line="276"/>
        <w:ind w:left="360" w:hanging="360"/>
        <w:jc w:val="both"/>
      </w:pPr>
      <w:r>
        <w:t xml:space="preserve">8. Документы о плате Истца оператору за пользование вагонами (при наличии).</w:t>
      </w:r>
    </w:p>
    <w:p>
      <w:pPr>
        <w:spacing w:after="120" w:line="276"/>
        <w:ind w:left="360" w:hanging="360"/>
        <w:jc w:val="both"/>
      </w:pPr>
      <w:r>
        <w:t xml:space="preserve">9. Доказательство направления отзыва Истцу.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 цементного завода]» по доверенности от [дата] № [номер]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2026-10-19T18:51:00.450Z</dcterms:created>
  <dcterms:modified xsi:type="dcterms:W3CDTF">2026-10-19T18:51:00.450Z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