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области]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>Судья: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Истец: [наименование гарантирующего поставщика / энергосбытовой компании]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Ответчик: [ФИО полностью]</w:t>
      </w:r>
    </w:p>
    <w:p>
      <w:pPr>
        <w:spacing w:after="0"/>
        <w:jc w:val="right"/>
      </w:pPr>
      <w:r>
        <w:t xml:space="preserve">дата рождения: [дата], место жительства: [адрес жилого дома]</w:t>
      </w:r>
    </w:p>
    <w:p>
      <w:pPr>
        <w:spacing w:after="0"/>
        <w:jc w:val="right"/>
      </w:pPr>
      <w:r>
        <w:t xml:space="preserve">телефон: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[1 100 000]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ВОЗРАЖЕНИЯ НА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стоимости электрической энергии по нерегулируемой цене (межтарифной разницы)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гражданское дело по иску [наименование истца] (далее — Истец) ко мне о взыскании [1 100 000] руб. разницы между стоимостью электрической энергии, рассчитанной по нерегулируемой цене для прочих потребителей, и стоимостью, оплаченной по тарифу для населения, за период с [01.10.2022] по [30.09.2024]. Истец утверждает, что электроэнергия в моём жилом доме использовалась не для коммунально-бытовых нужд, а для майнинга цифровой валюты.</w:t>
      </w:r>
    </w:p>
    <w:p>
      <w:pPr>
        <w:spacing w:after="120" w:line="276"/>
        <w:ind w:firstLine="709"/>
        <w:jc w:val="both"/>
      </w:pPr>
      <w:r>
        <w:t xml:space="preserve">С иском не согласен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left="360" w:hanging="360"/>
        <w:jc w:val="both"/>
      </w:pPr>
      <w:r>
        <w:t xml:space="preserve">1. Мне на праве собственности принадлежит жилой дом общей площадью [220] кв. м, кадастровый номер [номер], и земельный участок по адресу: [адрес] (выписки из ЕГРН прилагаются). В доме постоянно проживают [количество] человек.</w:t>
      </w:r>
    </w:p>
    <w:p>
      <w:pPr>
        <w:spacing w:after="120" w:line="276"/>
        <w:ind w:left="360" w:hanging="360"/>
        <w:jc w:val="both"/>
      </w:pPr>
      <w:r>
        <w:t xml:space="preserve">2. Дом не газифицирован. Отопление и горячее водоснабжение обеспечиваются электрическим котлом [марка, модель] номинальной мощностью [__] кВт и тепловым насосом [марка, модель] с потребляемой электрической мощностью [__] кВт, установленными по проекту [наименование проектной организации, номер проекта, год]. Оборудование смонтировано по договору от [дата] № [номер] и введено в эксплуатацию [дата] (акт прилагается).</w:t>
      </w:r>
    </w:p>
    <w:p>
      <w:pPr>
        <w:spacing w:after="120" w:line="276"/>
        <w:ind w:left="360" w:hanging="360"/>
        <w:jc w:val="both"/>
      </w:pPr>
      <w:r>
        <w:t xml:space="preserve">3. Электроснабжение дома осуществляется по договору энергоснабжения от [дата] № [номер] (лицевой счёт № [номер]), разрешённая максимальная мощность по техническим условиям — [15] кВт. Все начисления за спорный период я оплачивал по выставленным счетам.</w:t>
      </w:r>
    </w:p>
    <w:p>
      <w:pPr>
        <w:spacing w:after="120" w:line="276"/>
        <w:ind w:left="360" w:hanging="360"/>
        <w:jc w:val="both"/>
      </w:pPr>
      <w:r>
        <w:t xml:space="preserve">4. [дата] представители Истца составили акт осмотра электроустановки № [номер], в котором указали на «шум, характерный для майнингового оборудования», «тепловыделение стены» и высокий объём потребления. На основании этого акта и тепловизионной съёмки Истец пересчитал плату за два года по нерегулируемой цене.</w:t>
      </w:r>
    </w:p>
    <w:p>
      <w:pPr>
        <w:spacing w:after="160" w:before="200"/>
        <w:jc w:val="center"/>
      </w:pPr>
      <w:r>
        <w:rPr>
          <w:b/>
          <w:bCs/>
        </w:rPr>
        <w:t xml:space="preserve">2. Высокое потребление объясняется электрическим отоплением</w:t>
      </w:r>
    </w:p>
    <w:p>
      <w:pPr>
        <w:spacing w:after="120" w:line="276"/>
        <w:ind w:left="360" w:hanging="360"/>
        <w:jc w:val="both"/>
      </w:pPr>
      <w:r>
        <w:t xml:space="preserve">5. Тариф для населения применяется к гражданам, использующим электроэнергию на коммунально-бытовые нужды (Основы ценообразования в области регулируемых цен (тарифов) в электроэнергетике, утв. постановлением Правительства РФ от 29.12.2011 № 1178). Отопление и горячее водоснабжение жилого дома — коммунально-бытовые нужды.</w:t>
      </w:r>
    </w:p>
    <w:p>
      <w:pPr>
        <w:spacing w:after="120" w:line="276"/>
        <w:ind w:left="360" w:hanging="360"/>
        <w:jc w:val="both"/>
      </w:pPr>
      <w:r>
        <w:t xml:space="preserve">6. Динамика потребления по лицевому счёту имеет выраженный сезонный характер: в отопительный период (октябрь — апрель) среднемесячный объём составлял [__] кВт·ч, в летние месяцы снижался до [__] кВт·ч (таблица помесячного потребления за [2021–2024] годы прилагается). Майнинговое оборудование работает круглосуточно с постоянной нагрузкой и такой сезонности не даёт.</w:t>
      </w:r>
    </w:p>
    <w:p>
      <w:pPr>
        <w:spacing w:after="120" w:line="276"/>
        <w:ind w:left="360" w:hanging="360"/>
        <w:jc w:val="both"/>
      </w:pPr>
      <w:r>
        <w:t xml:space="preserve">7. Расчёт по паспортным характеристикам оборудования (приложение № [__]) показывает, что для отопления дома площадью [220] кв. м котёл и тепловой насос в отопительный сезон потребляют [__] кВт·ч в месяц, что соответствует фактическим показаниям прибора учёта.</w:t>
      </w:r>
    </w:p>
    <w:p>
      <w:pPr>
        <w:spacing w:after="120" w:line="276"/>
        <w:ind w:left="360" w:hanging="360"/>
        <w:jc w:val="both"/>
      </w:pPr>
      <w:r>
        <w:t xml:space="preserve">8. В соответствии со ст. 56 ГПК РФ Истец, утверждающий о небытовом характере потребления, обязан доказать это обстоятельство. Сам по себе объём потребления при документально подтверждённом электроотоплении такого доказательства не образует.</w:t>
      </w:r>
    </w:p>
    <w:p>
      <w:pPr>
        <w:spacing w:after="160" w:before="200"/>
        <w:jc w:val="center"/>
      </w:pPr>
      <w:r>
        <w:rPr>
          <w:b/>
          <w:bCs/>
        </w:rPr>
        <w:t xml:space="preserve">3. Акт осмотра и тепловизионная съёмка не подтверждают майнинг</w:t>
      </w:r>
    </w:p>
    <w:p>
      <w:pPr>
        <w:spacing w:after="120" w:line="276"/>
        <w:ind w:left="360" w:hanging="360"/>
        <w:jc w:val="both"/>
      </w:pPr>
      <w:r>
        <w:t xml:space="preserve">9. Акт от [дата] составлен без доступа в дом и хозяйственные постройки, в моё отсутствие и без моего уведомления о проверке. Оборудование, которое Истец считает майнинговым, в акте не описано, фото- и видеофиксация внутренних помещений отсутствует.</w:t>
      </w:r>
    </w:p>
    <w:p>
      <w:pPr>
        <w:spacing w:after="120" w:line="276"/>
        <w:ind w:left="360" w:hanging="360"/>
        <w:jc w:val="both"/>
      </w:pPr>
      <w:r>
        <w:t xml:space="preserve">10. Источником «монотонного шума» является наружный блок теплового насоса, расположенный у [северной] стены дома (фото прилагаются). Тепловыделение стены зафиксировано в месте размещения котельной.</w:t>
      </w:r>
    </w:p>
    <w:p>
      <w:pPr>
        <w:spacing w:after="120" w:line="276"/>
        <w:ind w:left="360" w:hanging="360"/>
        <w:jc w:val="both"/>
      </w:pPr>
      <w:r>
        <w:t xml:space="preserve">11. Указанная в акте мгновенная мощность [__] кВт измерена без указания средства измерения, его заводского номера и сведений о поверке, что не позволяет проверить достоверность замера (ч. 3 ст. 67 ГПК РФ).</w:t>
      </w:r>
    </w:p>
    <w:p>
      <w:pPr>
        <w:spacing w:after="120" w:line="276"/>
        <w:ind w:left="360" w:hanging="360"/>
        <w:jc w:val="both"/>
      </w:pPr>
      <w:r>
        <w:t xml:space="preserve">12. Тепловизионная съёмка с улицы фиксирует лишь температуру наружных поверхностей и не позволяет определить вид работающего оборудования. При работающем отоплении нагрев стены котельной является нормальным.</w:t>
      </w:r>
    </w:p>
    <w:p>
      <w:pPr>
        <w:spacing w:after="160" w:before="200"/>
        <w:jc w:val="center"/>
      </w:pPr>
      <w:r>
        <w:rPr>
          <w:b/>
          <w:bCs/>
        </w:rPr>
        <w:t xml:space="preserve">4. Сравнение с соседними домами некорректно</w:t>
      </w:r>
    </w:p>
    <w:p>
      <w:pPr>
        <w:spacing w:after="120" w:line="276"/>
        <w:ind w:left="360" w:hanging="360"/>
        <w:jc w:val="both"/>
      </w:pPr>
      <w:r>
        <w:t xml:space="preserve">13. Истец сравнивает моё потребление со средним потреблением домов [наименование населённого пункта]. Эти дома имеют площадь [80–120] кв. м и газовое отопление, то есть несопоставимы с моим домом по площади и способу отопления. Исходные данные выборки Истец не представил.</w:t>
      </w:r>
    </w:p>
    <w:p>
      <w:pPr>
        <w:spacing w:after="160" w:before="200"/>
        <w:jc w:val="center"/>
      </w:pPr>
      <w:r>
        <w:rPr>
          <w:b/>
          <w:bCs/>
        </w:rPr>
        <w:t xml:space="preserve">5. Пропуск срока исковой давности за часть периода</w:t>
      </w:r>
    </w:p>
    <w:p>
      <w:pPr>
        <w:spacing w:after="120" w:line="276"/>
        <w:ind w:left="360" w:hanging="360"/>
        <w:jc w:val="both"/>
      </w:pPr>
      <w:r>
        <w:t xml:space="preserve">14. Плата за электроэнергию вносится ежемесячно, до 10-го числа месяца, следующего за расчётным (ч. 1 ст. 155 ЖК РФ). Срок исковой давности по каждому платежу исчисляется отдельно (ст. 196, 200 ГК РФ, п. 24 постановления Пленума Верховного Суда РФ от 29.09.2015 № 43).</w:t>
      </w:r>
    </w:p>
    <w:p>
      <w:pPr>
        <w:spacing w:after="120" w:line="276"/>
        <w:ind w:left="360" w:hanging="360"/>
        <w:jc w:val="both"/>
      </w:pPr>
      <w:r>
        <w:t xml:space="preserve">15. Иск подан [дата подачи иска]. Следовательно, по требованиям за [октябрь — декабрь 2022] года (сроки оплаты истекли [10.11.2022, 10.12.2022, 10.01.2023]) срок исковой давности пропущен. Заявляю о применении исковой давности к этой части требований (п. 2 ст. 199 ГК РФ).</w:t>
      </w:r>
    </w:p>
    <w:p>
      <w:pPr>
        <w:spacing w:after="160" w:before="200"/>
        <w:jc w:val="center"/>
      </w:pPr>
      <w:r>
        <w:rPr>
          <w:b/>
          <w:bCs/>
        </w:rPr>
        <w:t xml:space="preserve">6. Ходатайства</w:t>
      </w:r>
    </w:p>
    <w:p>
      <w:pPr>
        <w:spacing w:after="120" w:line="276"/>
        <w:ind w:left="360" w:hanging="360"/>
        <w:jc w:val="both"/>
      </w:pPr>
      <w:r>
        <w:t xml:space="preserve">16. Для проверки характера нагрузки прошу назначить судебную электротехническую экспертизу, поставив вопросы: соответствует ли объём потребления за спорный период мощности и режиму работы установленного отопительного оборудования; имеются ли в доме и постройках признаки размещения и работы оборудования для майнинга. Готов обеспечить эксперту доступ и оплатить экспертизу.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12, 56, 57, 79, 149 ГПК РФ, ст. 199, 539, 544 ГК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 удовлетворении исковых требований [наименование истца] отказать в полном объёме.</w:t>
      </w:r>
    </w:p>
    <w:p>
      <w:pPr>
        <w:spacing w:after="120" w:line="276"/>
        <w:ind w:left="360" w:hanging="360"/>
        <w:jc w:val="both"/>
      </w:pPr>
      <w:r>
        <w:t xml:space="preserve">2. Применить срок исковой давности к требованиям за период с [01.10.2022] по [31.12.2022].</w:t>
      </w:r>
    </w:p>
    <w:p>
      <w:pPr>
        <w:spacing w:after="120" w:line="276"/>
        <w:ind w:left="360" w:hanging="360"/>
        <w:jc w:val="both"/>
      </w:pPr>
      <w:r>
        <w:t xml:space="preserve">3. Назначить по делу судебную электротехническую экспертизу, проведение поручить [наименование экспертной организации].</w:t>
      </w:r>
    </w:p>
    <w:p>
      <w:pPr>
        <w:spacing w:after="120" w:line="276"/>
        <w:ind w:left="360" w:hanging="360"/>
        <w:jc w:val="both"/>
      </w:pPr>
      <w:r>
        <w:t xml:space="preserve">4. Истребовать у Истца исходные данные о потреблении электроэнергии домами, с которыми проводилось сравнение (площадь, способ отопления, объём потребления по месяцам).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Выписки из ЕГРН на жилой дом и земельный участок.</w:t>
      </w:r>
    </w:p>
    <w:p>
      <w:pPr>
        <w:spacing w:after="120" w:line="276"/>
        <w:ind w:left="360" w:hanging="360"/>
        <w:jc w:val="both"/>
      </w:pPr>
      <w:r>
        <w:t xml:space="preserve">2. Проект отопления (электроснабжения) дома № [номер].</w:t>
      </w:r>
    </w:p>
    <w:p>
      <w:pPr>
        <w:spacing w:after="120" w:line="276"/>
        <w:ind w:left="360" w:hanging="360"/>
        <w:jc w:val="both"/>
      </w:pPr>
      <w:r>
        <w:t xml:space="preserve">3. Паспорта электрического котла и теплового насоса.</w:t>
      </w:r>
    </w:p>
    <w:p>
      <w:pPr>
        <w:spacing w:after="120" w:line="276"/>
        <w:ind w:left="360" w:hanging="360"/>
        <w:jc w:val="both"/>
      </w:pPr>
      <w:r>
        <w:t xml:space="preserve">4. Договор монтажа и акт ввода оборудования в эксплуатацию.</w:t>
      </w:r>
    </w:p>
    <w:p>
      <w:pPr>
        <w:spacing w:after="120" w:line="276"/>
        <w:ind w:left="360" w:hanging="360"/>
        <w:jc w:val="both"/>
      </w:pPr>
      <w:r>
        <w:t xml:space="preserve">5. Таблица помесячного потребления электроэнергии за [2021–2024] годы.</w:t>
      </w:r>
    </w:p>
    <w:p>
      <w:pPr>
        <w:spacing w:after="120" w:line="276"/>
        <w:ind w:left="360" w:hanging="360"/>
        <w:jc w:val="both"/>
      </w:pPr>
      <w:r>
        <w:t xml:space="preserve">6. Расчёт потребления отопительного оборудования по паспортной мощности.</w:t>
      </w:r>
    </w:p>
    <w:p>
      <w:pPr>
        <w:spacing w:after="120" w:line="276"/>
        <w:ind w:left="360" w:hanging="360"/>
        <w:jc w:val="both"/>
      </w:pPr>
      <w:r>
        <w:t xml:space="preserve">7. Фотографии котельной и наружного блока теплового насоса.</w:t>
      </w:r>
    </w:p>
    <w:p>
      <w:pPr>
        <w:spacing w:after="120" w:line="276"/>
        <w:ind w:left="360" w:hanging="360"/>
        <w:jc w:val="both"/>
      </w:pPr>
      <w:r>
        <w:t xml:space="preserve">8. Копия письма Истцу с приглашением на повторный осмотр от [дата].</w:t>
      </w:r>
    </w:p>
    <w:p>
      <w:pPr>
        <w:spacing w:after="120" w:line="276"/>
        <w:ind w:left="360" w:hanging="360"/>
        <w:jc w:val="both"/>
      </w:pPr>
      <w:r>
        <w:t xml:space="preserve">9. Документ, подтверждающий направление копии возражений Истцу.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2026-10-19T18:52:17.866Z</dcterms:created>
  <dcterms:modified xsi:type="dcterms:W3CDTF">2026-10-19T18:52:17.866Z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