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таможни]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регионального таможенного управления]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 доначисленных платежей: 9 800 000 руб. [уточнить: с пенями или без]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решений таможенного органа о внесении изменений (дополнений) в сведения, указанные в декларациях на товары, после выпуска товаров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Общество) ввозит в Российскую Федерацию и продаёт в розничные сети и через интернет-магазины косметическую продукцию под товарным знаком «[обозначение]» (свидетельство / международная регистрация № [номер]).</w:t>
      </w:r>
    </w:p>
    <w:p>
      <w:pPr>
        <w:spacing w:after="120" w:line="276"/>
        <w:ind w:firstLine="709"/>
        <w:jc w:val="both"/>
      </w:pPr>
      <w:r>
        <w:t xml:space="preserve">Товары приобретаются по внешнеторговому контракту от [дата] № [номер] у компании «[наименование поставщика]» ([страна]) (далее — Поставщик). Поставщик не входит в одну группу с правообладателем и с Обществом, не является его агентом или дистрибьютором и самостоятельно определяет цену. Это подтверждается [выписками из реестра / письмом Поставщика / структурой владения].</w:t>
      </w:r>
    </w:p>
    <w:p>
      <w:pPr>
        <w:spacing w:after="120" w:line="276"/>
        <w:ind w:firstLine="709"/>
        <w:jc w:val="both"/>
      </w:pPr>
      <w:r>
        <w:t xml:space="preserve">Правообладатель товарного знака — компания «[наименование правообладателя]» ([страна]), единственный участник Общества. По лицензионному договору от [дата] № [номер], зарегистрированному Роспатентом [дата], Общество получило неисключительное право использовать товарный знак на территории Российской Федерации в рекламе, на сайте, в маркетинговых материалах и при перепродаже товаров. Вознаграждение составляет [процент] % от чистой выручки от продажи продукции под товарным знаком в Российской Федерации. В эту выручку входит и продукция, которую Общество закупает у российских контрактных производителей [при наличии].</w:t>
      </w:r>
    </w:p>
    <w:p>
      <w:pPr>
        <w:spacing w:after="120" w:line="276"/>
        <w:ind w:firstLine="709"/>
        <w:jc w:val="both"/>
      </w:pPr>
      <w:r>
        <w:t xml:space="preserve">По итогам камеральной таможенной проверки (акт от [дата] № [номер]) [наименование таможни] приняла решения о внесении изменений (дополнений) в сведения, указанные в [количество] декларациях на товары, после выпуска товаров: от [дата] № [номер], от [дата] № [номер] [перечень — в приложении 1] (далее — Решения). Таможня включила в таможенную стоимость все лицензионные платежи за [период] на основании подп. 7 п. 1 ст. 40 Таможенного кодекса ЕАЭС и доначислила ввозную таможенную пошлину и НДС на общую сумму 9 800 000 руб. Платежи списаны с единого лицевого счёта Общества [дата] / уплачены платёжными поручениями от [дата] № [номер].</w:t>
      </w:r>
    </w:p>
    <w:p>
      <w:pPr>
        <w:spacing w:after="120" w:line="276"/>
        <w:ind w:firstLine="709"/>
        <w:jc w:val="both"/>
      </w:pPr>
      <w:r>
        <w:t xml:space="preserve">О Решениях Общество узнало [дата], когда получило их [через личный кабинет участника ВЭД / по почте]. Трёхмесячный срок, установленный ч. 4 ст. 198 АПК РФ,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Лицензионные платежи не являются условием продажи товаров</w:t>
      </w:r>
    </w:p>
    <w:p>
      <w:pPr>
        <w:spacing w:after="120" w:line="276"/>
        <w:ind w:firstLine="709"/>
        <w:jc w:val="both"/>
      </w:pPr>
      <w:r>
        <w:t xml:space="preserve">Согласно подп. 7 п. 1 ст. 40 ТК ЕАЭС лицензионные платежи прибавляются к цене товаров только при одновременном соблюдении двух условий: они относятся к ввозимым товарам и покупатель уплачивает их прямо или косвенно в качестве условия продажи этих товаров для вывоза на таможенную территорию Союза. Те же два условия названы в п. 17 постановления Пленума Верховного Суда РФ от 26.11.2019 № 49.</w:t>
      </w:r>
    </w:p>
    <w:p>
      <w:pPr>
        <w:spacing w:after="120" w:line="276"/>
        <w:ind w:firstLine="709"/>
        <w:jc w:val="both"/>
      </w:pPr>
      <w:r>
        <w:t xml:space="preserve">Второго условия в нашем случае нет:</w:t>
      </w:r>
    </w:p>
    <w:p>
      <w:pPr>
        <w:spacing w:after="120" w:line="276"/>
        <w:ind w:left="360" w:hanging="360"/>
        <w:jc w:val="both"/>
      </w:pPr>
      <w:r>
        <w:t xml:space="preserve">1. Контракт с Поставщиком не упоминает лицензионные платежи. Поставщик не вправе отказаться от поставки или расторгнуть контракт, если роялти не уплачены.</w:t>
      </w:r>
    </w:p>
    <w:p>
      <w:pPr>
        <w:spacing w:after="120" w:line="276"/>
        <w:ind w:left="360" w:hanging="360"/>
        <w:jc w:val="both"/>
      </w:pPr>
      <w:r>
        <w:t xml:space="preserve">2. Правообладатель не получает от Поставщика никаких выплат. Он не контролирует его производство, сбыт и ценообразование сверх обычного контроля качества и не вправе запретить ему продавать товары Обществу.</w:t>
      </w:r>
    </w:p>
    <w:p>
      <w:pPr>
        <w:spacing w:after="120" w:line="276"/>
        <w:ind w:left="360" w:hanging="360"/>
        <w:jc w:val="both"/>
      </w:pPr>
      <w:r>
        <w:t xml:space="preserve">3. Поставщик продаёт ту же продукцию другим покупателям, которые не заключали лицензионных договоров [доказательства: прайс-лист, письмо Поставщика].</w:t>
      </w:r>
    </w:p>
    <w:p>
      <w:pPr>
        <w:spacing w:after="120" w:line="276"/>
        <w:ind w:left="360" w:hanging="360"/>
        <w:jc w:val="both"/>
      </w:pPr>
      <w:r>
        <w:t xml:space="preserve">4. По условиям лицензионного договора вознаграждение уплачивается за использование товарного знака при продвижении и перепродаже товаров в России, а не за право купить товары. Если договор прекратится, Общество сохранит право покупать товары у Поставщика.</w:t>
      </w:r>
    </w:p>
    <w:p>
      <w:pPr>
        <w:spacing w:after="120" w:line="276"/>
        <w:ind w:firstLine="709"/>
        <w:jc w:val="both"/>
      </w:pPr>
      <w:r>
        <w:t xml:space="preserve">Признаки, по которым платёж признаётся условием продажи, перечислены в п. 9 Положения о добавлении лицензионных и иных подобных платежей (приложение к Рекомендации Коллегии ЕЭК от 15.11.2016 № 20). Ни одного из них в настоящем деле нет.</w:t>
      </w:r>
    </w:p>
    <w:p>
      <w:pPr>
        <w:spacing w:after="120" w:line="276"/>
        <w:ind w:firstLine="709"/>
        <w:jc w:val="both"/>
      </w:pPr>
      <w:r>
        <w:t xml:space="preserve">Платежи за право распределения или перепродажи ввозимых товаров, если они не являются условием продажи, не добавляются к цене (подп. «б» подп. 7 п. 1 ст. 40 ТК ЕАЭС). Лицензия Общества предоставлена именно для этого: для перепродажи и продвижения.</w:t>
      </w:r>
    </w:p>
    <w:p>
      <w:pPr>
        <w:spacing w:after="120" w:line="276"/>
        <w:ind w:firstLine="709"/>
        <w:jc w:val="both"/>
      </w:pPr>
      <w:r>
        <w:t xml:space="preserve">Общество понимает, что сам по себе договор с правообладателем, а не с продавцом, не исключает начисления (абз. 2 п. 17 Пленума № 49). Однако в деле есть совокупность доказательств того, что купить товары без уплаты роялти можно. Это отличает его от дел, где правообладатель контролировал поставщиков и производство (например, определение ВС РФ от 24.09.2025 № 310-ЭС25-8440).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Таможня не доказала, какая часть платежей относится к ввезённым товарам</w:t>
      </w:r>
    </w:p>
    <w:p>
      <w:pPr>
        <w:spacing w:after="120" w:line="276"/>
        <w:ind w:firstLine="709"/>
        <w:jc w:val="both"/>
      </w:pPr>
      <w:r>
        <w:t xml:space="preserve">Роялти начисляются на всю выручку Общества под товарным знаком, в том числе на продажу продукции российского производства [доля — [процент] %]. Таможня включила в таможенную стоимость всю сумму, не распределив её между ввезёнными и другими товарами.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указала, что таможенная стоимость не может быть произвольной (п. 9 ст. 38 ТК ЕАЭС). Если платежи начисляются не только на ввозимые товары, таможня должна определить приходящуюся на них часть, а её расчёт подлежит проверке судом (определения от 16.09.2024 № 307-ЭС24-6983, от 24.05.2024 № 308-ЭС23-29565). Общество представляло таможне [письмо от [дата] № [номер]] данные о структуре выручки, но таможня их не оценила.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Бремя доказывания</w:t>
      </w:r>
    </w:p>
    <w:p>
      <w:pPr>
        <w:spacing w:after="120" w:line="276"/>
        <w:ind w:firstLine="709"/>
        <w:jc w:val="both"/>
      </w:pPr>
      <w:r>
        <w:t xml:space="preserve">Законность Решений обязана доказать таможня (ч. 5 ст. 200 АПК РФ). Сведения, представленные декларантом, презюмируются достоверными, и опровергать их должен таможенный орган (п. 8 Пленума № 49). Таможня не представила доказательств того, что Поставщик зависит от правообладателя или что без уплаты роялти продажа товаров была бы невозможна.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38–40 ТК ЕАЭС, ст. 198, 199, 200, 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решения [наименование таможни] о внесении изменений (дополнений) в сведения, указанные в декларациях на товары, после выпуска товаров: от [дата] № [номер], от [дата] № [номер] [полный перечень — по приложению 1].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таможни] устранить допущенные нарушения прав и законных интересов ООО «[наименование]» путём возврата излишне уплаченных (взысканных) таможенных платежей в размере 9 800 000 руб. [и пеней в размере [сумма] руб.] в установленном законом порядке.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таможни] в пользу ООО «[наименование]»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Перечень оспариваемых решений и деклараций на товары.</w:t>
      </w:r>
    </w:p>
    <w:p>
      <w:pPr>
        <w:spacing w:after="120" w:line="276"/>
        <w:ind w:left="360" w:hanging="360"/>
        <w:jc w:val="both"/>
      </w:pPr>
      <w:r>
        <w:t xml:space="preserve">2. Копии оспариваемых решений и акта камеральной таможенной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внешнеторгового контракта от [дата] № [номер] со спецификациями.</w:t>
      </w:r>
    </w:p>
    <w:p>
      <w:pPr>
        <w:spacing w:after="120" w:line="276"/>
        <w:ind w:left="360" w:hanging="360"/>
        <w:jc w:val="both"/>
      </w:pPr>
      <w:r>
        <w:t xml:space="preserve">4. Копия лицензионного договора от [дата] № [номер] и сведения о его регистрации Роспатентом.</w:t>
      </w:r>
    </w:p>
    <w:p>
      <w:pPr>
        <w:spacing w:after="120" w:line="276"/>
        <w:ind w:left="360" w:hanging="360"/>
        <w:jc w:val="both"/>
      </w:pPr>
      <w:r>
        <w:t xml:space="preserve">5. Доказательства независимости Поставщика от правообладателя.</w:t>
      </w:r>
    </w:p>
    <w:p>
      <w:pPr>
        <w:spacing w:after="120" w:line="276"/>
        <w:ind w:left="360" w:hanging="360"/>
        <w:jc w:val="both"/>
      </w:pPr>
      <w:r>
        <w:t xml:space="preserve">6. Справка о структуре выручки под товарным знаком за [период].</w:t>
      </w:r>
    </w:p>
    <w:p>
      <w:pPr>
        <w:spacing w:after="120" w:line="276"/>
        <w:ind w:left="360" w:hanging="360"/>
        <w:jc w:val="both"/>
      </w:pPr>
      <w:r>
        <w:t xml:space="preserve">7. Платёжные документы о списании (уплате) доначисленных платежей.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таможне и третьему лицу.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Общество.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2026-10-19T19:05:57.463Z</dcterms:created>
  <dcterms:modified xsi:type="dcterms:W3CDTF">2026-10-19T19:05:57.463Z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