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 субъекта РФ, например: Новосибирский областной суд]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по доверенности от [дата] № [номер]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[наименование органа регулирования, например: Департамент по тарифам Новосибирской области]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20 000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 о признании недействующим в части приказа об установлении тарифов на тепловую энергию на 2026 год</w:t>
      </w:r>
    </w:p>
    <w:p>
      <w:pPr>
        <w:spacing w:after="160" w:before="200"/>
        <w:jc w:val="center"/>
      </w:pPr>
      <w:r>
        <w:rPr>
          <w:b/>
          <w:bCs/>
        </w:rPr>
        <w:t xml:space="preserve">1. Оспариваемый акт</w:t>
      </w:r>
    </w:p>
    <w:p>
      <w:pPr>
        <w:spacing w:after="120" w:line="276"/>
        <w:ind w:firstLine="709"/>
        <w:jc w:val="both"/>
      </w:pPr>
      <w:r>
        <w:t xml:space="preserve">Приказом [наименование органа регулирования] от [дата] № [номер] «[полное наименование приказа]» (далее — Приказ) для ООО «[наименование]» (далее — Общество) установлены тарифы на тепловую энергию, поставляемую потребителям [наименование муниципального образования], на 2026 год в размере [сумма] руб./Гкал (без НДС) на период [с ... по ...] и [сумма] руб./Гкал на период [с ... по 31.12.2026] (строки [номера] приложения № [номер] к Приказу).</w:t>
      </w:r>
    </w:p>
    <w:p>
      <w:pPr>
        <w:spacing w:after="120" w:line="276"/>
        <w:ind w:firstLine="709"/>
        <w:jc w:val="both"/>
      </w:pPr>
      <w:r>
        <w:t xml:space="preserve">Приказ опубликован [источник опубликования, например: на официальном интернет-портале правовой информации www.pravo.gov.ru] [дата], номер опубликования [номер]. Приказ действует до 31.12.2026.</w:t>
      </w:r>
    </w:p>
    <w:p>
      <w:pPr>
        <w:spacing w:after="160" w:before="200"/>
        <w:jc w:val="center"/>
      </w:pPr>
      <w:r>
        <w:rPr>
          <w:b/>
          <w:bCs/>
        </w:rPr>
        <w:t xml:space="preserve">2. Применение акта к административному истцу</w:t>
      </w:r>
    </w:p>
    <w:p>
      <w:pPr>
        <w:spacing w:after="120" w:line="276"/>
        <w:ind w:firstLine="709"/>
        <w:jc w:val="both"/>
      </w:pPr>
      <w:r>
        <w:t xml:space="preserve">Общество — теплоснабжающая организация, эксплуатирующая [количество] котельных и тепловые сети в [населённый пункт] на основании концессионного соглашения от [дата] № [номер] (договора аренды от [дата] № [номер], заключённого с соблюдением ст. 28.1 Федерального закона от 27.07.2010 № 190-ФЗ «О теплоснабжении»). Общество производит расчёты с потребителями по тарифам, установленным Приказом, и является субъектом регулируемых им отношений (ч. 1 ст. 208 КАС РФ).</w:t>
      </w:r>
    </w:p>
    <w:p>
      <w:pPr>
        <w:spacing w:after="120" w:line="276"/>
        <w:ind w:firstLine="709"/>
        <w:jc w:val="both"/>
      </w:pPr>
      <w:r>
        <w:t xml:space="preserve">[Дата] Общество подало в орган регулирования предложение об установлении тарифов на 2026 год (вх. № [номер]) с обосновывающими материалами. Тарифы рассчитаны методом [индексации установленных тарифов / экономически обоснованных расходов (затрат)]. Предложенная Обществом необходимая валовая выручка (НВВ) составила [сумма] тыс. руб., утверждённая — [сумма] тыс. руб. Разница в [сумма] тыс. руб. возникла в основном из-за исключения двух статей расходов, указанных ниже.</w:t>
      </w:r>
    </w:p>
    <w:p>
      <w:pPr>
        <w:spacing w:after="160" w:before="200"/>
        <w:jc w:val="center"/>
      </w:pPr>
      <w:r>
        <w:rPr>
          <w:b/>
          <w:bCs/>
        </w:rPr>
        <w:t xml:space="preserve">3. Основания для признания Приказа недействующим</w:t>
      </w:r>
    </w:p>
    <w:p>
      <w:pPr>
        <w:spacing w:after="160" w:before="200"/>
        <w:jc w:val="center"/>
      </w:pPr>
      <w:r>
        <w:rPr>
          <w:b/>
          <w:bCs/>
        </w:rPr>
        <w:t xml:space="preserve">3.1. Необоснованно исключены расходы на ремонт</w:t>
      </w:r>
    </w:p>
    <w:p>
      <w:pPr>
        <w:spacing w:after="120" w:line="276"/>
        <w:ind w:firstLine="709"/>
        <w:jc w:val="both"/>
      </w:pPr>
      <w:r>
        <w:t xml:space="preserve">Общество заявило расходы на ремонт основных средств в размере [сумма] тыс. руб. по плану ремонтов на 2026 год: [кратко: замена участка тепловой сети протяжённостью ... м, ремонт котла № ...]. Необходимость работ подтверждена дефектными ведомостями от [дата], актом технического осмотра от [дата], [предписанием Ростехнадзора от [дата] № [номер]]. Стоимость работ обоснована локальными сметными расчётами и тремя коммерческими предложениями.</w:t>
      </w:r>
    </w:p>
    <w:p>
      <w:pPr>
        <w:spacing w:after="120" w:line="276"/>
        <w:ind w:firstLine="709"/>
        <w:jc w:val="both"/>
      </w:pPr>
      <w:r>
        <w:t xml:space="preserve">Орган регулирования учёл расходы на ремонт в размере [сумма] тыс. руб. В экспертном заключении от [дата] указано лишь, что расходы «не подтверждены», без анализа представленных документов.</w:t>
      </w:r>
    </w:p>
    <w:p>
      <w:pPr>
        <w:spacing w:after="120" w:line="276"/>
        <w:ind w:firstLine="709"/>
        <w:jc w:val="both"/>
      </w:pPr>
      <w:r>
        <w:t xml:space="preserve">Согласно п. 41 Основ ценообразования в сфере теплоснабжения, утверждённых постановлением Правительства РФ от 22.10.2012 № 1075 (далее — Основы), при определении расходов на ремонт используются расчётные цены и обоснованные мероприятия по проведению ремонтных работ на производственных объектах, принадлежащих организации на законном основании. Мероприятия обоснованы, объекты находятся во владении Общества. Ремонтные работы не являются капитальными вложениями и не включены в инвестиционную программу (п. 49 Основ), поэтому учитываются в составе операционных (подконтрольных) расходов.</w:t>
      </w:r>
    </w:p>
    <w:p>
      <w:pPr>
        <w:spacing w:after="160" w:before="200"/>
        <w:jc w:val="center"/>
      </w:pPr>
      <w:r>
        <w:rPr>
          <w:b/>
          <w:bCs/>
        </w:rPr>
        <w:t xml:space="preserve">3.2. Расходы на топливо рассчитаны по ненадлежащему источнику цены</w:t>
      </w:r>
    </w:p>
    <w:p>
      <w:pPr>
        <w:spacing w:after="120" w:line="276"/>
        <w:ind w:firstLine="709"/>
        <w:jc w:val="both"/>
      </w:pPr>
      <w:r>
        <w:t xml:space="preserve">Общество использует в качестве топлива [уголь марки ... / мазут], цена которого государством не регулируется. Цена поставки на 2026 год определена договором от [дата] № [номер], заключённым по итогам [аукциона / конкурса] (извещение № [номер]), и составляет [сумма] руб./т с доставкой.</w:t>
      </w:r>
    </w:p>
    <w:p>
      <w:pPr>
        <w:spacing w:after="120" w:line="276"/>
        <w:ind w:firstLine="709"/>
        <w:jc w:val="both"/>
      </w:pPr>
      <w:r>
        <w:t xml:space="preserve">Орган регулирования не учёл этот договор и рассчитал плановую цену топлива как цену 2025 года [сумма] руб./т, умноженную на прогнозный индекс [значение]. Получилась цена [сумма] руб./т, а расходы на топливо занижены на [сумма] тыс. руб.</w:t>
      </w:r>
    </w:p>
    <w:p>
      <w:pPr>
        <w:spacing w:after="120" w:line="276"/>
        <w:ind w:firstLine="709"/>
        <w:jc w:val="both"/>
      </w:pPr>
      <w:r>
        <w:t xml:space="preserve">По п. 28 Основ при определении плановых значений расходов орган регулирования применяет источники информации о ценах в установленном порядке: сначала регулируемые цены (подп. «а»), затем цены договоров, заключённых по итогам торгов (подп. «б»), и лишь при их отсутствии прогнозные показатели (подп. «в»). Плановая цена топлива определяется в соответствии с п. 28 Основ (п. 34, 37 Основ). Применение прогнозного индекса при наличии договора по итогам торгов противоречит указанному порядку.</w:t>
      </w:r>
    </w:p>
    <w:p>
      <w:pPr>
        <w:spacing w:after="160" w:before="200"/>
        <w:jc w:val="center"/>
      </w:pPr>
      <w:r>
        <w:rPr>
          <w:b/>
          <w:bCs/>
        </w:rPr>
        <w:t xml:space="preserve">3.3. Экспертное заключение не соответствует Правилам регулирования</w:t>
      </w:r>
    </w:p>
    <w:p>
      <w:pPr>
        <w:spacing w:after="120" w:line="276"/>
        <w:ind w:firstLine="709"/>
        <w:jc w:val="both"/>
      </w:pPr>
      <w:r>
        <w:t xml:space="preserve">Экспертное заключение органа регулирования должно содержать объективные выводы об экономической обоснованности тарифов и соответствовать требованиям пп. 29–29(3) Правил регулирования цен (тарифов) в сфере теплоснабжения, утверждённых постановлением Правительства РФ № 1075 (п. 28 Правил). По двум спорным статьям заключение не содержит анализа представленных Обществом документов и расчёта принятых значений. Это нарушает установленную процедуру принятия тарифного решения и принципы обеспечения экономической обоснованности расходов и баланса интересов (ст. 3, ч. 1 ст. 7 Закона о теплоснабжении).</w:t>
      </w:r>
    </w:p>
    <w:p>
      <w:pPr>
        <w:spacing w:after="160" w:before="200"/>
        <w:jc w:val="center"/>
      </w:pPr>
      <w:r>
        <w:rPr>
          <w:b/>
          <w:bCs/>
        </w:rPr>
        <w:t xml:space="preserve">4. Нарушение прав административного истца</w:t>
      </w:r>
    </w:p>
    <w:p>
      <w:pPr>
        <w:spacing w:after="120" w:line="276"/>
        <w:ind w:firstLine="709"/>
        <w:jc w:val="both"/>
      </w:pPr>
      <w:r>
        <w:t xml:space="preserve">Из-за исключения указанных расходов НВВ Общества на 2026 год занижена на [сумма] тыс. руб. За [количество] месяцев действия Приказа Общество недополучило выручку в размере [сумма] тыс. руб. (расчёт прилагается), не может финансировать ремонт сетей перед отопительным сезоном и несёт кассовые разрывы по оплате топлива.</w:t>
      </w:r>
    </w:p>
    <w:p>
      <w:pPr>
        <w:spacing w:after="160" w:before="200"/>
        <w:jc w:val="center"/>
      </w:pPr>
      <w:r>
        <w:rPr>
          <w:b/>
          <w:bCs/>
        </w:rPr>
        <w:t xml:space="preserve">5. Правовое обоснование</w:t>
      </w:r>
    </w:p>
    <w:p>
      <w:pPr>
        <w:spacing w:after="120" w:line="276"/>
        <w:ind w:firstLine="709"/>
        <w:jc w:val="both"/>
      </w:pPr>
      <w:r>
        <w:t xml:space="preserve">В силу п. 2 ч. 1 ст. 20 КАС РФ дела об оспаривании нормативных правовых актов органов государственной власти субъектов РФ рассматривает суд субъекта РФ. Административный иск подаётся в течение всего срока действия акта (ч. 6 ст. 208 КАС РФ). Обязанность доказывать соблюдение процедуры принятия Приказа и его соответствие актам, имеющим большую юридическую силу, лежит на административном ответчике (ч. 9 ст. 213 КАС РФ).</w:t>
      </w:r>
    </w:p>
    <w:p>
      <w:pPr>
        <w:spacing w:after="120" w:line="276"/>
        <w:ind w:firstLine="709"/>
        <w:jc w:val="both"/>
      </w:pPr>
      <w:r>
        <w:t xml:space="preserve">Поскольку признание Приказа недействующим в части приведёт к отсутствию тарифа Общества на 2026 год, а обязанность устанавливать тарифы возложена на орган регулирования (п. 1 ч. 3 ст. 7 Закона о теплоснабжении), имеются основания возложить на ответчика обязанность принять заменяющий акт (ч. 4 ст. 216 КАС РФ, п. 37 постановления Пленума Верховного Суда РФ от 25.12.2018 № 50).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20, 208, 209, 215, 216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 действующим со дня принятия приказ [наименование органа регулирования] от [дата] № [номер] «[наименование]» в части установления тарифов на тепловую энергию для ООО «[наименование]» на 2026 год (строки [номера] приложения № [номер]) как не соответствующий п. 28, 34, 37, 41 Основ ценообразования в сфере теплоснабжения и п. 28 Правил регулирования цен (тарифов) в сфере теплоснабжения, утверждённых постановлением Правительства РФ от 22.10.2012 № 1075.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органа регулирования] в течение одного месяца со дня вступления решения суда в законную силу принять нормативный правовой акт, заменяющий Приказ в признанной недействующей части.</w:t>
      </w:r>
    </w:p>
    <w:p>
      <w:pPr>
        <w:spacing w:after="120" w:line="276"/>
        <w:ind w:left="360" w:hanging="360"/>
        <w:jc w:val="both"/>
      </w:pPr>
      <w:r>
        <w:t xml:space="preserve">3. Истребовать у административного ответчика материалы тарифного дела Общества на 2026 год, включая экспертное заключение и протокол заседания правления от [дата].</w:t>
      </w:r>
    </w:p>
    <w:p>
      <w:pPr>
        <w:spacing w:after="120" w:line="276"/>
        <w:ind w:left="360" w:hanging="360"/>
        <w:jc w:val="both"/>
      </w:pPr>
      <w:r>
        <w:t xml:space="preserve">4. Взыскать с административного ответчика в пользу ООО «[наименование]» расходы по уплате государственной пошлины в размере 20 000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административному ответчику копии административного искового заявления и приложенных документов.</w:t>
      </w:r>
    </w:p>
    <w:p>
      <w:pPr>
        <w:spacing w:after="120" w:line="276"/>
        <w:ind w:left="360" w:hanging="360"/>
        <w:jc w:val="both"/>
      </w:pPr>
      <w:r>
        <w:t xml:space="preserve">3. Копия Приказа с приложением и сведения о его опубликовании.</w:t>
      </w:r>
    </w:p>
    <w:p>
      <w:pPr>
        <w:spacing w:after="120" w:line="276"/>
        <w:ind w:left="360" w:hanging="360"/>
        <w:jc w:val="both"/>
      </w:pPr>
      <w:r>
        <w:t xml:space="preserve">4. Доверенность представителя и копия документа о его высшем юридическом образовании.</w:t>
      </w:r>
    </w:p>
    <w:p>
      <w:pPr>
        <w:spacing w:after="120" w:line="276"/>
        <w:ind w:left="360" w:hanging="360"/>
        <w:jc w:val="both"/>
      </w:pPr>
      <w:r>
        <w:t xml:space="preserve">5. Выписка из ЕГРЮЛ на ООО «[наименование]».</w:t>
      </w:r>
    </w:p>
    <w:p>
      <w:pPr>
        <w:spacing w:after="120" w:line="276"/>
        <w:ind w:left="360" w:hanging="360"/>
        <w:jc w:val="both"/>
      </w:pPr>
      <w:r>
        <w:t xml:space="preserve">6. Копия концессионного соглашения (договора аренды) на объекты теплоснабжения.</w:t>
      </w:r>
    </w:p>
    <w:p>
      <w:pPr>
        <w:spacing w:after="120" w:line="276"/>
        <w:ind w:left="360" w:hanging="360"/>
        <w:jc w:val="both"/>
      </w:pPr>
      <w:r>
        <w:t xml:space="preserve">7. Копия предложения об установлении тарифов с описью обосновывающих материалов.</w:t>
      </w:r>
    </w:p>
    <w:p>
      <w:pPr>
        <w:spacing w:after="120" w:line="276"/>
        <w:ind w:left="360" w:hanging="360"/>
        <w:jc w:val="both"/>
      </w:pPr>
      <w:r>
        <w:t xml:space="preserve">8. Копии дефектных ведомостей, актов осмотра, смет и коммерческих предложений по ремонту.</w:t>
      </w:r>
    </w:p>
    <w:p>
      <w:pPr>
        <w:spacing w:after="120" w:line="276"/>
        <w:ind w:left="360" w:hanging="360"/>
        <w:jc w:val="both"/>
      </w:pPr>
      <w:r>
        <w:t xml:space="preserve">9. Копия договора поставки топлива от [дата] № [номер] и протокола подведения итогов торгов.</w:t>
      </w:r>
    </w:p>
    <w:p>
      <w:pPr>
        <w:spacing w:after="120" w:line="276"/>
        <w:ind w:left="360" w:hanging="360"/>
        <w:jc w:val="both"/>
      </w:pPr>
      <w:r>
        <w:t xml:space="preserve">10. Копия экспертного заключения органа регулирования (при наличии).</w:t>
      </w:r>
    </w:p>
    <w:p>
      <w:pPr>
        <w:spacing w:after="120" w:line="276"/>
        <w:ind w:left="360" w:hanging="360"/>
        <w:jc w:val="both"/>
      </w:pPr>
      <w:r>
        <w:t xml:space="preserve">11. Расчёт недополученной выручки.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2026-10-19T19:28:25.749Z</dcterms:created>
  <dcterms:modified xsi:type="dcterms:W3CDTF">2026-10-19T19:28:25.749Z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