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Управление Федеральной налоговой службы по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инспекции ФНС России],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Заявитель: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КПП [КПП],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средство размещения: гостиница «[название]», [адрес гостиницы]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решение о привлечении к ответственности за совершение налогового правонарушения от [дата] № [номер] (туристический налог)</w:t>
      </w:r>
    </w:p>
    <w:p>
      <w:pPr>
        <w:spacing w:after="120" w:line="276"/>
        <w:ind w:firstLine="709"/>
        <w:jc w:val="both"/>
      </w:pPr>
      <w:r>
        <w:t xml:space="preserve">[Наименование инспекции] (далее – Инспекция) по результатам камеральной налоговой проверки налоговой декларации ООО «[наименование]» (далее – Общество) по туристическому налогу за [2] квартал 2026 года вынесла решение от [дата] № [номер] о привлечении к ответственности за совершение налогового правонарушения (далее – Решение). Решение получено Обществом [дата вручения], в силу не вступило (п. 9 ст. 101 НК РФ).</w:t>
      </w:r>
    </w:p>
    <w:p>
      <w:pPr>
        <w:spacing w:after="120" w:line="276"/>
        <w:ind w:firstLine="709"/>
        <w:jc w:val="both"/>
      </w:pPr>
      <w:r>
        <w:t xml:space="preserve">Решением Обществу доначислен туристический налог в сумме 55 200 руб., начислены пени в сумме [сумма] руб., Общество привлечено к ответственности по п. 1 ст. 122 НК РФ в виде штрафа в сумме 11 040 руб. Доначисление сложилось из двух эпизодов:</w:t>
      </w:r>
    </w:p>
    <w:p>
      <w:pPr>
        <w:spacing w:after="120" w:line="276"/>
        <w:ind w:left="360" w:hanging="360"/>
        <w:jc w:val="both"/>
      </w:pPr>
      <w:r>
        <w:t xml:space="preserve">1. В налоговую базу включена стоимость завтраков (1 520 000 руб.) и трансфера (280 000 руб.), оказанных гостям в квартале, всего 1 800 000 руб. без НДС; налог по ставке 2 % – 36 000 руб.</w:t>
      </w:r>
    </w:p>
    <w:p>
      <w:pPr>
        <w:spacing w:after="120" w:line="276"/>
        <w:ind w:left="360" w:hanging="360"/>
        <w:jc w:val="both"/>
      </w:pPr>
      <w:r>
        <w:t xml:space="preserve">2. Из налоговой базы не исключена стоимость проживания гостей – инвалидов I и II групп в сумме 960 000 руб.; налог – 19 200 руб. Инспекция сочла, что копии справок МСЭ, хранящиеся у Общества, не подтверждают статус гостей.</w:t>
      </w:r>
    </w:p>
    <w:p>
      <w:pPr>
        <w:spacing w:after="120" w:line="276"/>
        <w:ind w:firstLine="709"/>
        <w:jc w:val="both"/>
      </w:pPr>
      <w:r>
        <w:t xml:space="preserve">С Решением в указанной части Общество не согласно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Стоимость завтраков и трансфера не входит в налоговую базу</w:t>
      </w:r>
    </w:p>
    <w:p>
      <w:pPr>
        <w:spacing w:after="120" w:line="276"/>
        <w:ind w:firstLine="709"/>
        <w:jc w:val="both"/>
      </w:pPr>
      <w:r>
        <w:t xml:space="preserve">Налоговая база по туристическому налогу определяется как стоимость услуги по предоставлению мест для временного проживания физических лиц в средстве размещения без учета сумм налога и НДС (п. 1 ст. 418.4 НК РФ). Завтраки и трансфер не являются услугой по временному проживанию.</w:t>
      </w:r>
    </w:p>
    <w:p>
      <w:pPr>
        <w:spacing w:after="120" w:line="276"/>
        <w:ind w:firstLine="709"/>
        <w:jc w:val="both"/>
      </w:pPr>
      <w:r>
        <w:t xml:space="preserve">Цену номера и перечень услуг, входящих в нее, устанавливает исполнитель (п. 2, 23 Правил предоставления гостиничных услуг в Российской Федерации, утв. постановлением Правительства РФ от 18.11.2020 № 1853). В Обществе цена номера не включает завтрак и трансфер. Это подтверждают: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прейскурант, утвержденный приказом от [дата] № [номер], где стоимость проживания по категориям номеров, стоимость завтрака ([сумма] руб. на человека) и трансфера ([сумма] руб. за поездку) указаны отдельно;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публичная оферта на сайте Общества (п. [номер]): завтрак и трансфер – дополнительные услуги, заказываемые гостем по желанию;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подтверждения бронирования и счета, в которых проживание, завтраки и трансфер указаны отдельными строками;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кассовые чеки, где эти услуги отражены отдельными предметами расчета;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выгрузка из системы управления гостиницей [название PMS] за квартал с разбивкой выручки по видам услуг.</w:t>
      </w:r>
    </w:p>
    <w:p>
      <w:pPr>
        <w:spacing w:after="120" w:line="276"/>
        <w:ind w:firstLine="709"/>
        <w:jc w:val="both"/>
      </w:pPr>
      <w:r>
        <w:t xml:space="preserve">ФНС России в письме от 14.02.2025 № ЕА-4-3/1490@, обязательном для применения налоговыми органами и согласованном с Минфином России (письмо от 28.01.2025 № 03-05-04-06/6992), разъяснила, что стоимость сопутствующих услуг включается в налоговую базу, только если из договора не следует, что эти услуги выделены из стоимости проживания. В нашем случае они выделены, поэтому включение 1 800 000 руб. в налоговую базу противоречит п. 1 ст. 418.4 НК РФ.</w:t>
      </w:r>
    </w:p>
    <w:p>
      <w:pPr>
        <w:spacing w:after="120" w:line="276"/>
        <w:ind w:firstLine="709"/>
        <w:jc w:val="both"/>
      </w:pPr>
      <w:r>
        <w:t xml:space="preserve">Доводы Инспекции о том, что часть гостей оплачивала проживание и завтрак одним платежом, значения не имеют: способ оплаты не меняет состав и цену услуг, которые определены договором и отражены в чеке.</w:t>
      </w:r>
    </w:p>
    <w:p>
      <w:pPr>
        <w:spacing w:after="160" w:before="200"/>
        <w:jc w:val="center"/>
      </w:pPr>
      <w:r>
        <w:rPr>
          <w:b/>
          <w:bCs/>
        </w:rPr>
        <w:t xml:space="preserve">2. Стоимость проживания гостей-инвалидов не подлежала включению в налоговую базу</w:t>
      </w:r>
    </w:p>
    <w:p>
      <w:pPr>
        <w:spacing w:after="120" w:line="276"/>
        <w:ind w:firstLine="709"/>
        <w:jc w:val="both"/>
      </w:pPr>
      <w:r>
        <w:t xml:space="preserve">В силу подп. 8 п. 2 ст. 418.4 НК РФ при условии предоставления налогоплательщику документов, подтверждающих статус, в налоговую базу не включается стоимость услуги по временному проживанию инвалидов I и II групп, инвалидов с детства, детей-инвалидов.</w:t>
      </w:r>
    </w:p>
    <w:p>
      <w:pPr>
        <w:spacing w:after="120" w:line="276"/>
        <w:ind w:firstLine="709"/>
        <w:jc w:val="both"/>
      </w:pPr>
      <w:r>
        <w:t xml:space="preserve">Каждый из [количество] гостей при заселении предъявил справку, подтверждающую факт установления инвалидности (выписку из акта медико-социальной экспертизы), копия которой с согласия гостя снята и хранится у Общества. Сведения о гостях сведены в реестр (приложение № [номер]): ФИО, серия и номер справки, группа инвалидности, даты проживания, стоимость проживания.</w:t>
      </w:r>
    </w:p>
    <w:p>
      <w:pPr>
        <w:spacing w:after="120" w:line="276"/>
        <w:ind w:firstLine="709"/>
        <w:jc w:val="both"/>
      </w:pPr>
      <w:r>
        <w:t xml:space="preserve">НК РФ не устанавливает, что документ должен быть представлен в подлиннике, заверен нотариально или храниться у налогоплательщика в оригинале. Закон требует лишь предоставления документа налогоплательщику, и это требование выполнено. Сомнений в достоверности сведений Инспекция не высказывала, пояснений по ним не запрашивала, сведения в федеральном реестре инвалидов не проверяла. Отказ по формальному основанию лишает Общество права, прямо предусмотренного законом.</w:t>
      </w:r>
    </w:p>
    <w:p>
      <w:pPr>
        <w:spacing w:after="120" w:line="276"/>
        <w:ind w:firstLine="709"/>
        <w:jc w:val="both"/>
      </w:pPr>
      <w:r>
        <w:t xml:space="preserve">Общество прикладывает к жалобе копии справок и реестр, а также письменные подтверждения [количество] гостей. Вышестоящий налоговый орган обязан рассмотреть документы, представленные с жалобой и в ходе ее рассмотрения (п. 5 ст. 139.2, п. 1, 2 ст. 140 НК РФ). Конституционный Суд РФ в Определении от 12.07.2006 № 267-О указал, что налоговый орган при обнаружении нарушений обязан запросить у налогоплательщика пояснения и документы, а документы, которые налоговый орган не истребовал, суд обязан исследовать.</w:t>
      </w:r>
    </w:p>
    <w:p>
      <w:pPr>
        <w:spacing w:after="160" w:before="200"/>
        <w:jc w:val="center"/>
      </w:pPr>
      <w:r>
        <w:rPr>
          <w:b/>
          <w:bCs/>
        </w:rPr>
        <w:t xml:space="preserve">3. Штраф наложен неправомерно</w:t>
      </w:r>
    </w:p>
    <w:p>
      <w:pPr>
        <w:spacing w:after="120" w:line="276"/>
        <w:ind w:firstLine="709"/>
        <w:jc w:val="both"/>
      </w:pPr>
      <w:r>
        <w:t xml:space="preserve">Общество определяло налоговую базу в соответствии с письмом ФНС России от 14.02.2025 № ЕА-4-3/1490@, адресованным неопределенному кругу лиц. Выполнение письменных разъяснений уполномоченного органа исключает вину в совершении налогового правонарушения (подп. 3 п. 1 ст. 111 НК РФ). Без вины лицо не может быть привлечено к ответственности (п. 2 ст. 109, п. 2 ст. 111 НК РФ).</w:t>
      </w:r>
    </w:p>
    <w:p>
      <w:pPr>
        <w:spacing w:after="120" w:line="276"/>
        <w:ind w:firstLine="709"/>
        <w:jc w:val="both"/>
      </w:pPr>
      <w:r>
        <w:t xml:space="preserve">Если вышестоящий налоговый орган не согласится с этим доводом, Общество просит учесть смягчающие обстоятельства (подп. 3 п. 1 ст. 112 НК РФ): туристический налог применяется с 2025 года, правонарушение совершено впервые, налог по декларации исчислен и уплачен своевременно, Общество добросовестно подтверждало право гостей на исключение из базы. При наличии хотя бы одного смягчающего обстоятельства штраф уменьшается не менее чем в два раза и не более чем в десять раз (п. 3 ст. 114 НК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101.2, 138, 139.1, 139.2, 140 НК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Решение от [дата] № [номер] в части доначисления туристического налога в сумме 55 200 руб., соответствующих пеней и штрафа по п. 1 ст. 122 НК РФ в сумме 11 040 руб.</w:t>
      </w:r>
    </w:p>
    <w:p>
      <w:pPr>
        <w:spacing w:after="120" w:line="276"/>
        <w:ind w:left="360" w:hanging="360"/>
        <w:jc w:val="both"/>
      </w:pPr>
      <w:r>
        <w:t xml:space="preserve">2. В случае признания доначисления налога правомерным полностью или в части – уменьшить штраф не менее чем в десять раз с учетом смягчающих обстоятельств.</w:t>
      </w:r>
    </w:p>
    <w:p>
      <w:pPr>
        <w:spacing w:after="120" w:line="276"/>
        <w:ind w:left="360" w:hanging="360"/>
        <w:jc w:val="both"/>
      </w:pPr>
      <w:r>
        <w:t xml:space="preserve">3. Рассмотреть жалобу с участием представителя Общества; решение направить через личный кабинет налогоплательщика.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Решения от [дата] № [номер] и акта налоговой проверки от [дата] № [номер].</w:t>
      </w:r>
    </w:p>
    <w:p>
      <w:pPr>
        <w:spacing w:after="120" w:line="276"/>
        <w:ind w:left="360" w:hanging="360"/>
        <w:jc w:val="both"/>
      </w:pPr>
      <w:r>
        <w:t xml:space="preserve">2. Прейскурант с приказом об утверждении, текст публичной оферты.</w:t>
      </w:r>
    </w:p>
    <w:p>
      <w:pPr>
        <w:spacing w:after="120" w:line="276"/>
        <w:ind w:left="360" w:hanging="360"/>
        <w:jc w:val="both"/>
      </w:pPr>
      <w:r>
        <w:t xml:space="preserve">3. Выгрузка из [название PMS] с разбивкой выручки по видам услуг за [2] квартал 2026 года.</w:t>
      </w:r>
    </w:p>
    <w:p>
      <w:pPr>
        <w:spacing w:after="120" w:line="276"/>
        <w:ind w:left="360" w:hanging="360"/>
        <w:jc w:val="both"/>
      </w:pPr>
      <w:r>
        <w:t xml:space="preserve">4. Копии подтверждений бронирования, счетов и кассовых чеков (выборочно, на [количество] л.).</w:t>
      </w:r>
    </w:p>
    <w:p>
      <w:pPr>
        <w:spacing w:after="120" w:line="276"/>
        <w:ind w:left="360" w:hanging="360"/>
        <w:jc w:val="both"/>
      </w:pPr>
      <w:r>
        <w:t xml:space="preserve">5. Реестр гостей-инвалидов с копиями справок МСЭ и письменными подтверждениями гостей.</w:t>
      </w:r>
    </w:p>
    <w:p>
      <w:pPr>
        <w:spacing w:after="120" w:line="276"/>
        <w:ind w:left="360" w:hanging="360"/>
        <w:jc w:val="both"/>
      </w:pPr>
      <w:r>
        <w:t xml:space="preserve">6. Доверенность представителя (если жалобу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«[наименование]» 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2026-10-19T19:35:29.746Z</dcterms:created>
  <dcterms:modified xsi:type="dcterms:W3CDTF">2026-10-19T19:35:29.746Z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