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Федеральную службу по интеллектуальной собственности (Роспатент)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Бережковская наб., д. 30, корп. 1, г. Москва, 123995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Лицо, подавшее возражение (заявитель): Общество с ограниченной ответственностью «[наименование]», ОГРН [ОГРН],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места нахождения: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для переписки: [почтовый адрес], e-mail: [e-mail],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доверенность от [дата] № [номер] [при подаче патентным поверенным – регистрационный 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Заявка № [номер заявки] от [дата подачи]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Решение об отказе в государственной регистрации от [дата решения]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ВОЗРАЖЕНИЕ</w:t>
      </w:r>
    </w:p>
    <w:p>
      <w:pPr>
        <w:spacing w:after="160" w:before="200"/>
        <w:jc w:val="center"/>
      </w:pPr>
      <w:r>
        <w:rPr>
          <w:b/>
          <w:bCs/>
        </w:rPr>
        <w:t xml:space="preserve">против решения об отказе в государственной регистрации товарного знака по заявке № [номер заявки] (подп. 3.1.6 п. 3 Правил, утв. приказом Минобрнауки России и Минэкономразвития России от 30.04.2020 № 644/261)</w:t>
      </w:r>
    </w:p>
    <w:p>
      <w:pPr>
        <w:spacing w:after="120" w:line="276"/>
        <w:ind w:firstLine="709"/>
        <w:jc w:val="both"/>
      </w:pPr>
      <w:r>
        <w:t xml:space="preserve">[Дата подачи] ООО «[наименование]» (далее – Заявитель) подало заявку № [номер заявки] на государственную регистрацию словесного обозначения «ЛУНОВА», выполненного стандартным шрифтом заглавными буквами кириллицы, в качестве товарного знака для товаров 30 класса МКТУ: [перечень, например: «изделия кондитерские мучные; торты; пирожные; печенье; пряники; конфеты; шоколад; зефир; пастила; сэндвичи; пицца»].</w:t>
      </w:r>
    </w:p>
    <w:p>
      <w:pPr>
        <w:spacing w:after="120" w:line="276"/>
        <w:ind w:firstLine="709"/>
        <w:jc w:val="both"/>
      </w:pPr>
      <w:r>
        <w:t xml:space="preserve">Решением от [дата решения] (далее – Решение) Роспатент отказал в государственной регистрации в отношении всех заявленных товаров на основании подп. 2 п. 6 ст. 1483 Гражданского кодекса Российской Федерации (далее – ГК РФ). Экспертиза пришла к выводу, что заявленное обозначение сходно до степени смешения с товарным знаком «ЛУНА-ВА» по свидетельству Российской Федерации № [номер] с приоритетом от [дата] (далее – Противопоставленный знак), зарегистрированным на имя [наименование правообладателя] для услуг 43 класса МКТУ: [перечень, например: «кафе; кафетерии; рестораны; закусочные; услуги баров»], а заявленные товары однородны этим услугам.</w:t>
      </w:r>
    </w:p>
    <w:p>
      <w:pPr>
        <w:spacing w:after="120" w:line="276"/>
        <w:ind w:firstLine="709"/>
        <w:jc w:val="both"/>
      </w:pPr>
      <w:r>
        <w:t xml:space="preserve">Заявитель не согласен с Решением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Заявленные товары и услуги Противопоставленного знака неоднородны</w:t>
      </w:r>
    </w:p>
    <w:p>
      <w:pPr>
        <w:spacing w:after="120" w:line="276"/>
        <w:ind w:firstLine="709"/>
        <w:jc w:val="both"/>
      </w:pPr>
      <w:r>
        <w:t xml:space="preserve">Однородность определяется исходя из принципиальной возможности возникновения у потребителя представления о принадлежности товаров (услуг) одному изготовителю; учитываются род (вид), назначение, вид материала, условия и каналы реализации, круг потребителей, взаимодополняемость и взаимозаменяемость (п. 45 Правил составления, подачи и рассмотрения документов, являющихся основанием для совершения юридически значимых действий по государственной регистрации товарных знаков, утв. приказом Минэкономразвития России от 20.07.2015 № 482, далее – Правила № 482; п. 162 Постановления Пленума Верховного Суда РФ от 23.04.2019 № 10).</w:t>
      </w:r>
    </w:p>
    <w:p>
      <w:pPr>
        <w:spacing w:after="120" w:line="276"/>
        <w:ind w:firstLine="709"/>
        <w:jc w:val="both"/>
      </w:pPr>
      <w:r>
        <w:t xml:space="preserve">Заявленные товары – это продукты промышленного или кустарного производства, имеющие материальную форму, срок годности, упаковку и маркировку. Они реализуются через розничные магазины, супермаркеты, кондитерские отделы и маркетплейсы, где потребитель выбирает их по маркировке на упаковке. [Указать фактические каналы сбыта Заявителя, например: «продукция Заявителя поставляется в торговые сети [наименования] и продается на маркетплейсах [наименования]» – приложение 4.]</w:t>
      </w:r>
    </w:p>
    <w:p>
      <w:pPr>
        <w:spacing w:after="120" w:line="276"/>
        <w:ind w:firstLine="709"/>
        <w:jc w:val="both"/>
      </w:pPr>
      <w:r>
        <w:t xml:space="preserve">Услуги 43 класса МКТУ, для которых зарегистрирован Противопоставленный знак, – это деятельность по обслуживанию посетителей в помещении заведения: приготовление и подача блюд, организация потребления, обслуживание персоналом. Потребитель выбирает заведение по вывеске и месту расположения, а не по маркировке товара.</w:t>
      </w:r>
    </w:p>
    <w:p>
      <w:pPr>
        <w:spacing w:after="120" w:line="276"/>
        <w:ind w:firstLine="709"/>
        <w:jc w:val="both"/>
      </w:pPr>
      <w:r>
        <w:t xml:space="preserve">Таким образом, сравниваемые товары и услуги относятся к разному роду (материальный товар и услуга обслуживания), имеют разное назначение, реализуются в разных местах и разными способами. Руководство по осуществлению административных процедур и действий в рамках предоставления государственной услуги по государственной регистрации товарного знака, утвержденное приказом ФГБУ ФИПС от 20.01.2020 № 12, в перечне корреспондирующих классов, в которых могут содержаться однородные товары, относит к 30 классу МКТУ только 5 и 29 классы (разд. 7.2.4). Экспертиза не привела доказательств того, что потребитель воспринимает кондитерские изделия в магазинной упаковке и услуги кафе как происходящие из одного источника. Сам по себе факт, что продукты питания могут подаваться в кафе, не делает товар и услугу однородными: в противном случае однородными услугам общественного питания следовало бы признать практически все товары 29–33 классов МКТУ.</w:t>
      </w:r>
    </w:p>
    <w:p>
      <w:pPr>
        <w:spacing w:after="160" w:before="200"/>
        <w:jc w:val="center"/>
      </w:pPr>
      <w:r>
        <w:rPr>
          <w:b/>
          <w:bCs/>
        </w:rPr>
        <w:t xml:space="preserve">2. Обозначения не сходны до степени смешения в целом</w:t>
      </w:r>
    </w:p>
    <w:p>
      <w:pPr>
        <w:spacing w:after="120" w:line="276"/>
        <w:ind w:firstLine="709"/>
        <w:jc w:val="both"/>
      </w:pPr>
      <w:r>
        <w:t xml:space="preserve">Сходство словесных обозначений оценивается по звуковым, графическим и смысловым признакам; обозначение сходно, если ассоциируется с другим в целом, несмотря на отдельные отличия (п. 41, 42 Правил № 482).</w:t>
      </w:r>
    </w:p>
    <w:p>
      <w:pPr>
        <w:spacing w:after="120" w:line="276"/>
        <w:ind w:firstLine="709"/>
        <w:jc w:val="both"/>
      </w:pPr>
      <w:r>
        <w:t xml:space="preserve">Заявитель не оспаривает определенную звуковую близость обозначений при беглом произношении. Однако общее впечатление от сравниваемых обозначений различно.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Смысловой признак.</w:t>
      </w:r>
      <w:r>
        <w:t xml:space="preserve"> «ЛУНОВА» – цельное фантазийное слово, построенное по модели русской фамилии с окончанием «-ова»; самостоятельного лексического значения оно не имеет. Противопоставленный знак «ЛУНА-ВА» разделен дефисом на две части, первая из которых – общеупотребительное слово «луна» с ясным значением (небесное тело), а вторая – отдельный слог. Потребитель воспринимает его как сочетание «луна» с дополнительным элементом, порождающее образ, связанный с луной, тогда как заявленное обозначение воспринимается как имя собственное. [При наличии приложить словарные справки или результаты социологического опроса – приложение 5.]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Графический признак.</w:t>
      </w:r>
      <w:r>
        <w:t xml:space="preserve"> Заявленное обозначение состоит из одного слова из шести букв без знаков препинания; Противопоставленный знак состоит из двух частей, разделенных дефисом, с иным составом букв во втором слоге. Дефис зрительно разбивает знак и акцентирует внимание на слове «луна».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Звуковой признак.</w:t>
      </w:r>
      <w:r>
        <w:t xml:space="preserve"> Совпадение звучания неполное: в заявленном обозначении три слога одного слова, в Противопоставленном знаке – слово и отдельный слог, что при раздельном произношении изменяет интонационный рисунок.</w:t>
      </w:r>
    </w:p>
    <w:p>
      <w:pPr>
        <w:spacing w:after="160" w:before="200"/>
        <w:jc w:val="center"/>
      </w:pPr>
      <w:r>
        <w:rPr>
          <w:b/>
          <w:bCs/>
        </w:rPr>
        <w:t xml:space="preserve">3. Вероятность смешения отсутствует</w:t>
      </w:r>
    </w:p>
    <w:p>
      <w:pPr>
        <w:spacing w:after="120" w:line="276"/>
        <w:ind w:firstLine="709"/>
        <w:jc w:val="both"/>
      </w:pPr>
      <w:r>
        <w:t xml:space="preserve">Вероятность смешения определяется исходя из степени сходства обозначений и степени однородности товаров; при низкой степени однородности смешение возможно лишь при тождестве или высокой степени сходства обозначений (п. 162 Постановления Пленума ВС РФ № 10). В рассматриваемом случае товары и услуги неоднородны, а частичная звуковая близость обозначений компенсируется их смысловым и графическим различием. Следовательно, регистрация заявленного обозначения для товаров 30 класса МКТУ не противоречит подп. 2 п. 6 ст. 1483 ГК РФ.</w:t>
      </w:r>
    </w:p>
    <w:p>
      <w:pPr>
        <w:spacing w:after="160" w:before="200"/>
        <w:jc w:val="center"/>
      </w:pPr>
      <w:r>
        <w:rPr>
          <w:b/>
          <w:bCs/>
        </w:rPr>
        <w:t xml:space="preserve">4. Ходатайство о рассмотрении заявки с сокращенным перечнем товаров</w:t>
      </w:r>
    </w:p>
    <w:p>
      <w:pPr>
        <w:spacing w:after="120" w:line="276"/>
        <w:ind w:firstLine="709"/>
        <w:jc w:val="both"/>
      </w:pPr>
      <w:r>
        <w:t xml:space="preserve">Если коллегия придет к выводу об однородности части заявленных товаров услугам Противопоставленного знака, Заявитель на основании п. 2 ст. 1500, п. 2 ст. 1497 ГК РФ и п. 39 Правил № 644/261 ходатайствует о рассмотрении заявки в отношении следующего сокращенного перечня товаров 30 класса МКТУ: [например: «изделия кондитерские мучные; торты; пирожные; печенье; пряники; конфеты; шоколад; зефир; пастила»]. Из перечня исключаются товары [например: «сэндвичи; пицца»], которые могут реализовываться в заведениях общественного питания как готовые блюда. Сокращение перечня не расширяет объем испрашиваемой охраны и устраняет единственное основание отказа.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1483, 1497, 1500 ГК РФ, Правилами № 644/261,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Удовлетворить возражение, отменить решение Роспатента от [дата решения] об отказе в государственной регистрации товарного знака по заявке № [номер заявки] и зарегистрировать обозначение «ЛУНОВА» в качестве товарного знака в отношении всех заявленных товаров 30 класса МКТУ.</w:t>
      </w:r>
    </w:p>
    <w:p>
      <w:pPr>
        <w:spacing w:after="120" w:line="276"/>
        <w:ind w:left="360" w:hanging="360"/>
        <w:jc w:val="both"/>
      </w:pPr>
      <w:r>
        <w:t xml:space="preserve">2. В случае признания части товаров однородными услугам Противопоставленного знака – удовлетворить возражение частично и зарегистрировать товарный знак в отношении сокращенного перечня товаров 30 класса МКТУ, указанного в разделе 4 настоящего возражения.</w:t>
      </w:r>
    </w:p>
    <w:p>
      <w:pPr>
        <w:spacing w:after="120" w:line="276"/>
        <w:ind w:firstLine="709"/>
        <w:jc w:val="both"/>
      </w:pPr>
      <w:r>
        <w:t xml:space="preserve">Сведения о плательщике пошлины: страна – Российская Федерация; плательщик – ООО «[наименование]», ОГРН [ОГРН], ИНН [ИНН]. Пошлина за рассмотрение возражения уплачена в размере 9 000 руб. (п. 2.28.2 Положения о патентных и иных пошлинах, утв. Постановлением Правительства РФ от 10.12.2008 № 941).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Роспатента от [дата решения] по заявке № [номер заявки].</w:t>
      </w:r>
    </w:p>
    <w:p>
      <w:pPr>
        <w:spacing w:after="120" w:line="276"/>
        <w:ind w:left="360" w:hanging="360"/>
        <w:jc w:val="both"/>
      </w:pPr>
      <w:r>
        <w:t xml:space="preserve">2. Копия документа об уплате пошлины от [дата] № [номер].</w:t>
      </w:r>
    </w:p>
    <w:p>
      <w:pPr>
        <w:spacing w:after="120" w:line="276"/>
        <w:ind w:left="360" w:hanging="360"/>
        <w:jc w:val="both"/>
      </w:pPr>
      <w:r>
        <w:t xml:space="preserve">3. Доверенность представителя от [дата] № [номер].</w:t>
      </w:r>
    </w:p>
    <w:p>
      <w:pPr>
        <w:spacing w:after="120" w:line="276"/>
        <w:ind w:left="360" w:hanging="360"/>
        <w:jc w:val="both"/>
      </w:pPr>
      <w:r>
        <w:t xml:space="preserve">4. Доказательства каналов реализации продукции Заявителя: договоры поставки, скриншоты карточек товаров на маркетплейсах, фотографии упаковки.</w:t>
      </w:r>
    </w:p>
    <w:p>
      <w:pPr>
        <w:spacing w:after="120" w:line="276"/>
        <w:ind w:left="360" w:hanging="360"/>
        <w:jc w:val="both"/>
      </w:pPr>
      <w:r>
        <w:t xml:space="preserve">5. Словарные справки о значении слова «луна» [результаты социологического опроса – при наличии].</w:t>
      </w:r>
    </w:p>
    <w:p>
      <w:pPr>
        <w:spacing w:after="120" w:line="276"/>
        <w:ind w:left="360" w:hanging="360"/>
        <w:jc w:val="both"/>
      </w:pPr>
      <w:r>
        <w:t xml:space="preserve">6. Сокращенный перечень товаров 30 класса МКТУ.</w:t>
      </w:r>
    </w:p>
    <w:p>
      <w:pPr>
        <w:spacing w:after="120" w:line="276"/>
        <w:ind w:left="360" w:hanging="360"/>
        <w:jc w:val="both"/>
      </w:pPr>
      <w:r>
        <w:t xml:space="preserve">7. Электронный носитель с копиями возражения и приложений в формате PDF (при подаче на бумаге).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[или представитель по доверенности] 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2026-10-20T17:23:48.101Z</dcterms:created>
  <dcterms:modified xsi:type="dcterms:W3CDTF">2026-10-20T17:23:48.101Z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