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Заявитель: Общество с ограниченной ответственностью «[наименование]», ИНН [ИНН], ОГРН [ОГРН],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 [наименование регионального органа охраны объектов культурного наследия],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Оспариваемый акт: предписание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предписания органа охраны объектов культурного наследия</w:t>
      </w:r>
    </w:p>
    <w:p>
      <w:pPr>
        <w:spacing w:after="120" w:line="276"/>
        <w:ind w:firstLine="709"/>
        <w:jc w:val="both"/>
      </w:pPr>
      <w:r>
        <w:t xml:space="preserve">ООО «[наименование]» (далее – Заявитель) является собственником нежилого здания площадью [площадь] кв. м с кадастровым номером [кадастровый номер] по адресу: [адрес] (выписка из ЕГРН от [дата]). Приказом [наименование органа] от [дата] № [номер] здание включено в перечень выявленных объектов культурного наследия как «[наименование объекта]». Решение о включении объекта в реестр не принято, предмет охраны не утверждён, охранное обязательство в силу п. 7.1 ст. 47.6 Федерального закона от 25.06.2002 № 73-ФЗ «Об объектах культурного наследия (памятниках истории и культуры) народов Российской Федерации» (далее – Закон № 73-ФЗ) не утверждалось.</w:t>
      </w:r>
    </w:p>
    <w:p>
      <w:pPr>
        <w:spacing w:after="120" w:line="276"/>
        <w:ind w:firstLine="709"/>
        <w:jc w:val="both"/>
      </w:pPr>
      <w:r>
        <w:t xml:space="preserve">По результатам [вид контрольного мероприятия] [наименование органа] (далее – Орган) составил акт от [дата] № [номер] и выдал Заявителю предписание от [дата] № [номер] (далее – Предписание). Предписание обязывает Заявителя «[дословный текст: например, выполнить ремонтно-реставрационные работы фасадов здания]» в срок до [дата], то есть за три месяца со дня выдачи. Нарушение описано как [дословная формулировка нарушения из Предписания] со ссылкой на [нормы, указанные Органом].</w:t>
      </w:r>
    </w:p>
    <w:p>
      <w:pPr>
        <w:spacing w:after="120" w:line="276"/>
        <w:ind w:firstLine="709"/>
        <w:jc w:val="both"/>
      </w:pPr>
      <w:r>
        <w:t xml:space="preserve">Заявитель в установленный ч. 6 ст. 40 Федерального закона от 31.07.2020 № 248-ФЗ «О государственном контроле (надзоре) и муниципальном контроле в Российской Федерации» (далее – Закон № 248-ФЗ) срок подал жалобу через Единый портал государственных услуг [дата, номер жалобы]. Решением от [дата] № [номер] жалоба оставлена без удовлетворения. Досудебный порядок, предусмотренный ч. 2 ст. 39 Закона № 248-ФЗ, соблюдён.</w:t>
      </w:r>
    </w:p>
    <w:p>
      <w:pPr>
        <w:spacing w:after="120" w:line="276"/>
        <w:ind w:firstLine="709"/>
        <w:jc w:val="both"/>
      </w:pPr>
      <w:r>
        <w:t xml:space="preserve">Предписание не соответствует закону и нарушает права Заявителя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Закон не допускает возлагать на собственника выявленного объекта обязанность по реставрации</w:t>
      </w:r>
    </w:p>
    <w:p>
      <w:pPr>
        <w:spacing w:after="120" w:line="276"/>
        <w:ind w:firstLine="709"/>
        <w:jc w:val="both"/>
      </w:pPr>
      <w:r>
        <w:t xml:space="preserve">Согласно абз. 2 п. 1 ст. 47.2 Закона № 73-ФЗ в отношении выявленного объекта культурного наследия устанавливаются требования к сохранению, не включающие требования к реставрации. В силу абз. 4 п. 1 ст. 45 Закона № 73-ФЗ работы по реставрации выявленного объекта культурного наследия проводятся по инициативе собственника.</w:t>
      </w:r>
    </w:p>
    <w:p>
      <w:pPr>
        <w:spacing w:after="120" w:line="276"/>
        <w:ind w:firstLine="709"/>
        <w:jc w:val="both"/>
      </w:pPr>
      <w:r>
        <w:t xml:space="preserve">Предписание прямо требует реставрационных работ на фасаде. Тем самым Орган возложил на Заявителя обязанность, которая законом не предусмотрена. Аналогичный подход изложен в постановлении Второго арбитражного апелляционного суда от 19.06.2020 по делу № А82-3030/2019 и постановлении Арбитражного суда Волго-Вятского округа от 05.02.2020 по делу № А82-19408/2018, которыми предписания о работах на выявленных объектах, включающих реставрацию, признаны недействительными.</w:t>
      </w:r>
    </w:p>
    <w:p>
      <w:pPr>
        <w:spacing w:after="160" w:before="200"/>
        <w:jc w:val="center"/>
      </w:pPr>
      <w:r>
        <w:rPr>
          <w:b/>
          <w:bCs/>
        </w:rPr>
        <w:t xml:space="preserve">2. Нарушен порядок определения состава и сроков работ</w:t>
      </w:r>
    </w:p>
    <w:p>
      <w:pPr>
        <w:spacing w:after="120" w:line="276"/>
        <w:ind w:firstLine="709"/>
        <w:jc w:val="both"/>
      </w:pPr>
      <w:r>
        <w:t xml:space="preserve">Состав (перечень) видов работ по сохранению выявленного объекта и сроки их проведения определяются органом охраны с учётом мнения собственника на основании акта технического состояния объекта (п. 2 ст. 47.2 Закона № 73-ФЗ).</w:t>
      </w:r>
    </w:p>
    <w:p>
      <w:pPr>
        <w:spacing w:after="120" w:line="276"/>
        <w:ind w:firstLine="709"/>
        <w:jc w:val="both"/>
      </w:pPr>
      <w:r>
        <w:t xml:space="preserve">Акт технического состояния здания Органом не составлялся [вариант: составлен [дата], но Заявителю не направлялся], мнение Заявителя о составе и сроках работ не запрашивалось. Срок в три месяца установлен без обоснования.</w:t>
      </w:r>
    </w:p>
    <w:p>
      <w:pPr>
        <w:spacing w:after="120" w:line="276"/>
        <w:ind w:firstLine="709"/>
        <w:jc w:val="both"/>
      </w:pPr>
      <w:r>
        <w:t xml:space="preserve">Кроме того, Предписание не содержит описания конкретного нарушения обязательных требований, перечня мероприятий по его устранению и сведений, подтверждающих устранение, как того требует ч. 2 ст. 90.1 Закона № 248-ФЗ. Из текста Предписания невозможно установить, какие элементы фасада и какими методами подлежат восстановлению.</w:t>
      </w:r>
    </w:p>
    <w:p>
      <w:pPr>
        <w:spacing w:after="160" w:before="200"/>
        <w:jc w:val="center"/>
      </w:pPr>
      <w:r>
        <w:rPr>
          <w:b/>
          <w:bCs/>
        </w:rPr>
        <w:t xml:space="preserve">3. Предмет охраны объекта не определён</w:t>
      </w:r>
    </w:p>
    <w:p>
      <w:pPr>
        <w:spacing w:after="120" w:line="276"/>
        <w:ind w:firstLine="709"/>
        <w:jc w:val="both"/>
      </w:pPr>
      <w:r>
        <w:t xml:space="preserve">Предмет охраны выявленного объекта устанавливается по результатам государственной историко-культурной экспертизы при решении вопроса о включении объекта в реестр (подп. 6 п. 2 ст. 18 Закона № 73-ФЗ). До его определения запрещено проводить работы, изменяющие облик, объёмно-планировочные и конструктивные решения и структуры выявленного объекта (подп. 3 п. 1 ст. 47.3 Закона № 73-ФЗ).</w:t>
      </w:r>
    </w:p>
    <w:p>
      <w:pPr>
        <w:spacing w:after="120" w:line="276"/>
        <w:ind w:firstLine="709"/>
        <w:jc w:val="both"/>
      </w:pPr>
      <w:r>
        <w:t xml:space="preserve">Реставрация фасада без утверждённого предмета охраны невозможна: неизвестно, какие элементы являются ценными и подлежат воссозданию. Исполнимость Предписания поставлена в зависимость от результатов экспертизы, которую Заявитель не проводит и на которую не может повлиять, что признано недопустимым в постановлении Арбитражного суда Волго-Вятского округа от 05.02.2020 по делу № А82-19408/2018.</w:t>
      </w:r>
    </w:p>
    <w:p>
      <w:pPr>
        <w:spacing w:after="160" w:before="200"/>
        <w:jc w:val="center"/>
      </w:pPr>
      <w:r>
        <w:rPr>
          <w:b/>
          <w:bCs/>
        </w:rPr>
        <w:t xml:space="preserve">4. Установленный срок заведомо неисполним</w:t>
      </w:r>
    </w:p>
    <w:p>
      <w:pPr>
        <w:spacing w:after="120" w:line="276"/>
        <w:ind w:firstLine="709"/>
        <w:jc w:val="both"/>
      </w:pPr>
      <w:r>
        <w:t xml:space="preserve">Работы по сохранению выявленного объекта проводятся на основании задания и разрешения органа охраны, проектной документации, согласованной органом охраны, при научном руководстве и авторском надзоре, силами организации, имеющей лицензию на деятельность по сохранению объектов культурного наследия (п. 1, 5, 6 ст. 45 Закона № 73-ФЗ).</w:t>
      </w:r>
    </w:p>
    <w:p>
      <w:pPr>
        <w:spacing w:after="120" w:line="276"/>
        <w:ind w:firstLine="709"/>
        <w:jc w:val="both"/>
      </w:pPr>
      <w:r>
        <w:t xml:space="preserve">Заявитель [дата] обратился в Орган с заявлением о выдаче задания на проведение работ [ответ не получен / задание выдано [дата]]. По письмам лицензированных проектных организаций [наименования] от [даты] подготовка проектной документации займёт не менее [количество] месяцев, после чего потребуется её согласование и получение разрешения. Выполнить весь цикл, включая производство работ, к [дата] объективно невозможно.</w:t>
      </w:r>
    </w:p>
    <w:p>
      <w:pPr>
        <w:spacing w:after="120" w:line="276"/>
        <w:ind w:firstLine="709"/>
        <w:jc w:val="both"/>
      </w:pPr>
      <w:r>
        <w:t xml:space="preserve">Предписание должно содержать законные, обоснованные и реально исполнимые требования. Верховный Суд РФ в определении от 27.08.2024 № 16-КГ24-21-К4 указал на необходимость устанавливать, какие обязанности возникают у владельцев выявленного объекта при отсутствии охранного обязательства, и отменил судебные акты, в том числе потому, что возложенная обязанность по сохранению объекта была неисполнимой.</w:t>
      </w:r>
    </w:p>
    <w:p>
      <w:pPr>
        <w:spacing w:after="120" w:line="276"/>
        <w:ind w:firstLine="709"/>
        <w:jc w:val="both"/>
      </w:pPr>
      <w:r>
        <w:t xml:space="preserve">При этом Заявитель не уклоняется от содержания здания: [указать выполненные работы по содержанию, например локальный ремонт водостоков и штукатурного слоя по подп. 4 п. 6 ст. 47.3 Закона № 73-ФЗ, или противоаварийные мероприятия].</w:t>
      </w:r>
    </w:p>
    <w:p>
      <w:pPr>
        <w:spacing w:after="160" w:before="200"/>
        <w:jc w:val="center"/>
      </w:pPr>
      <w:r>
        <w:rPr>
          <w:b/>
          <w:bCs/>
        </w:rPr>
        <w:t xml:space="preserve">5. Предписание нарушает права Заявителя</w:t>
      </w:r>
    </w:p>
    <w:p>
      <w:pPr>
        <w:spacing w:after="120" w:line="276"/>
        <w:ind w:firstLine="709"/>
        <w:jc w:val="both"/>
      </w:pPr>
      <w:r>
        <w:t xml:space="preserve">Предписание незаконно возлагает на Заявителя обязанность финансировать реставрационные работы, не предусмотренные законом, и создаёт угрозу привлечения к ответственности по ч. 18 ст. 19.5 КоАП РФ (штраф для юридического лица от 100 000 до 500 000 руб.). Обязанность доказать законность Предписания лежит на Органе (ч. 5 ст. 200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приостановлении действия Предписания</w:t>
      </w:r>
    </w:p>
    <w:p>
      <w:pPr>
        <w:spacing w:after="120" w:line="276"/>
        <w:ind w:firstLine="709"/>
        <w:jc w:val="both"/>
      </w:pPr>
      <w:r>
        <w:t xml:space="preserve">Срок исполнения Предписания истекает [дата], до рассмотрения дела по существу. Неисполнение повлечёт составление протокола по ч. 18 ст. 19.5 КоАП РФ, а начало работ без задания, проекта и разрешения само по себе нарушит ст. 45 Закона № 73-ФЗ. Приостановление действия Предписания не причинит вреда объекту: Заявитель продолжает работы по его содержанию.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198, 199, 200, 201 АПК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предписание [наименование органа] от [дата] № [номер] [вариант: в части пункта [номер]].</w:t>
      </w:r>
    </w:p>
    <w:p>
      <w:pPr>
        <w:spacing w:after="120" w:line="276"/>
        <w:ind w:left="360" w:hanging="360"/>
        <w:jc w:val="both"/>
      </w:pPr>
      <w:r>
        <w:t xml:space="preserve">2. Приостановить действие предписания [наименование органа] от [дата] № [номер] до вступления в законную силу решения суда по настоящему делу (ч. 3 ст. 199 АПК РФ).</w:t>
      </w:r>
    </w:p>
    <w:p>
      <w:pPr>
        <w:spacing w:after="120" w:line="276"/>
        <w:ind w:left="360" w:hanging="360"/>
        <w:jc w:val="both"/>
      </w:pPr>
      <w:r>
        <w:t xml:space="preserve">3. Взыскать с заинтересованного лица в пользу Заявителя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предписания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акта контрольного мероприятия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приказа о включении здания в перечень выявленных объектов культурного наследия.</w:t>
      </w:r>
    </w:p>
    <w:p>
      <w:pPr>
        <w:spacing w:after="120" w:line="276"/>
        <w:ind w:left="360" w:hanging="360"/>
        <w:jc w:val="both"/>
      </w:pPr>
      <w:r>
        <w:t xml:space="preserve">4. Выписка из ЕГРН на здание.</w:t>
      </w:r>
    </w:p>
    <w:p>
      <w:pPr>
        <w:spacing w:after="120" w:line="276"/>
        <w:ind w:left="360" w:hanging="360"/>
        <w:jc w:val="both"/>
      </w:pPr>
      <w:r>
        <w:t xml:space="preserve">5. Копия жалобы от [дата] и решения по ней от [дата].</w:t>
      </w:r>
    </w:p>
    <w:p>
      <w:pPr>
        <w:spacing w:after="120" w:line="276"/>
        <w:ind w:left="360" w:hanging="360"/>
        <w:jc w:val="both"/>
      </w:pPr>
      <w:r>
        <w:t xml:space="preserve">6. Копия заявления о выдаче задания на проведение работ и ответа на него.</w:t>
      </w:r>
    </w:p>
    <w:p>
      <w:pPr>
        <w:spacing w:after="120" w:line="276"/>
        <w:ind w:left="360" w:hanging="360"/>
        <w:jc w:val="both"/>
      </w:pPr>
      <w:r>
        <w:t xml:space="preserve">7. Копии писем проектных организаций о сроках разработки документации.</w:t>
      </w:r>
    </w:p>
    <w:p>
      <w:pPr>
        <w:spacing w:after="120" w:line="276"/>
        <w:ind w:left="360" w:hanging="360"/>
        <w:jc w:val="both"/>
      </w:pPr>
      <w:r>
        <w:t xml:space="preserve">8. Платёжное поручение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копии заявления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10. Выписка из ЕГРЮЛ на Заявителя.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(при подписании представителем).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представитель по доверенности]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2026-10-20T18:35:18.224Z</dcterms:created>
  <dcterms:modified xsi:type="dcterms:W3CDTF">2026-10-20T18:35:18.224Z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