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 по месту производства предварительного расследования]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адвокат [ФИО защитника]</w:t>
      </w:r>
    </w:p>
    <w:p>
      <w:pPr>
        <w:spacing w:after="0"/>
        <w:jc w:val="right"/>
      </w:pPr>
      <w:r>
        <w:t xml:space="preserve">регистрационный номер в реестре адвокатов [номер], [наименование адвокатского образования]</w:t>
      </w:r>
    </w:p>
    <w:p>
      <w:pPr>
        <w:spacing w:after="0"/>
        <w:jc w:val="right"/>
      </w:pPr>
      <w:r>
        <w:t xml:space="preserve">ордер от [дата] № [номер]</w:t>
      </w:r>
    </w:p>
    <w:p>
      <w:pPr>
        <w:spacing w:after="0"/>
        <w:jc w:val="right"/>
      </w:pPr>
      <w:r>
        <w:t xml:space="preserve">адрес для корреспонденции: [адрес], 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В интересах подозреваемого:</w:t>
      </w:r>
      <w:r>
        <w:t xml:space="preserve"> [ФИО подзащитного]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Должностное лицо, чьи действия обжалуются:</w:t>
      </w:r>
      <w:r>
        <w:t xml:space="preserve"> следователь [наименование следственного органа] [ФИО следователя]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в порядке статьи 125 УПК РФ на действия следователя при изъятии цифровой валюты</w:t>
      </w:r>
    </w:p>
    <w:p>
      <w:pPr>
        <w:spacing w:after="120" w:line="276"/>
        <w:ind w:firstLine="709"/>
        <w:jc w:val="both"/>
      </w:pPr>
      <w:r>
        <w:t xml:space="preserve">В производстве следователя [наименование следственного органа] [ФИО следователя] находится уголовное дело № [номер], возбуждённое [дата] по признакам преступления, предусмотренного [часть, статья] УК РФ. [ФИО подзащитного] задержан [дата] в качестве подозреваемого, я осуществляю его защиту на основании ордера от [дата] № [номер].</w:t>
      </w:r>
    </w:p>
    <w:p>
      <w:pPr>
        <w:spacing w:after="120" w:line="276"/>
        <w:ind w:firstLine="709"/>
        <w:jc w:val="both"/>
      </w:pPr>
      <w:r>
        <w:t xml:space="preserve">[дата] с [время] до [время] на основании постановления [наименование суда] от [дата] о разрешении производства обыска в жилище следователем [ФИО следователя] произведён обыск в квартире [ФИО подзащитного] по адресу: [адрес].</w:t>
      </w:r>
    </w:p>
    <w:p>
      <w:pPr>
        <w:spacing w:after="120" w:line="276"/>
        <w:ind w:firstLine="709"/>
        <w:jc w:val="both"/>
      </w:pPr>
      <w:r>
        <w:t xml:space="preserve">В ходе обыска был обнаружен аппаратный криптокошелёк [модель] и лист бумаги с записью мнемонической (seed) фразы. Следователь с использованием своего мобильного телефона восстановил по seed-фразе доступ к кошельку и перевёл находившуюся на нём цифровую валюту USDT (сеть [TRON (TRC-20)]) в количестве около [количество] единиц на адрес, который участникам обыска не был сообщён.</w:t>
      </w:r>
    </w:p>
    <w:p>
      <w:pPr>
        <w:spacing w:after="120" w:line="276"/>
        <w:ind w:firstLine="709"/>
        <w:jc w:val="both"/>
      </w:pPr>
      <w:r>
        <w:t xml:space="preserve">В протоколе обыска от [дата] об этом сделана запись: «[дословная запись из протокола, например: обнаруженная криптовалюта переведена на кошелёк для хранения, фото экрана прилагается]». К протоколу приложено фото экрана телефона, на котором видна только сумма операции. Специалист в обыске не участвовал: в вводной части протокола он не указан, подписи специалиста нет. Аппаратный кошелёк и лист с seed-фразой не упакованы и не опечатаны; seed-фраза в ходе обыска сфотографирована сотрудником [должность, если известно].</w:t>
      </w:r>
    </w:p>
    <w:p>
      <w:pPr>
        <w:spacing w:after="120" w:line="276"/>
        <w:ind w:firstLine="709"/>
        <w:jc w:val="both"/>
      </w:pPr>
      <w:r>
        <w:t xml:space="preserve">[дата] защитник заявил следователю письменное ходатайство о внесении в материалы дела сведений об адресе получателя, количестве переведённой валюты и хэше транзакции и о направлении уведомления по пункту 8 Правил № 808. По состоянию на дату подачи настоящей жалобы ходатайство не разрешено, ответ не получен.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left="360" w:hanging="360"/>
        <w:jc w:val="both"/>
      </w:pPr>
      <w:r>
        <w:t xml:space="preserve">1. Согласно ч. 1 ст. 164.2 УПК РФ (введена Федеральным законом от 20.02.2026 № 38-ФЗ) изъятие цифровой валюты осуществляется в ходе следственных действий </w:t>
      </w:r>
      <w:r>
        <w:rPr>
          <w:b/>
          <w:bCs/>
        </w:rPr>
        <w:t xml:space="preserve">с участием специалиста</w:t>
      </w:r>
      <w:r>
        <w:t xml:space="preserve">. Пунктом 7 Правил хранения, перевода и учёта цифровой валюты при осуществлении уголовного судопроизводства, утверждённых постановлением Правительства РФ от 30.06.2026 № 808 (далее: Правила № 808), участие специалиста предусмотрено и для перевода цифровой валюты на адрес-идентификатор. Специалист к обыску не привлекался.</w:t>
      </w:r>
    </w:p>
    <w:p>
      <w:pPr>
        <w:spacing w:after="120" w:line="276"/>
        <w:ind w:left="360" w:hanging="360"/>
        <w:jc w:val="both"/>
      </w:pPr>
      <w:r>
        <w:t xml:space="preserve">2. По ч. 2 ст. 164.2 УПК РФ материальный носитель, на котором зафиксирована информация, посредством которой осуществляется доступ к цифровой валюте, изымается и хранится </w:t>
      </w:r>
      <w:r>
        <w:rPr>
          <w:b/>
          <w:bCs/>
        </w:rPr>
        <w:t xml:space="preserve">в опечатанном виде</w:t>
      </w:r>
      <w:r>
        <w:t xml:space="preserve"> в условиях, исключающих ознакомление с этой информацией посторонних лиц. Носители не опечатаны, seed-фраза сфотографирована, то есть доступ к валюте получили лица, не уполномоченные на её хранение. Валюта, остающаяся на кошельке, по-прежнему не защищена.</w:t>
      </w:r>
    </w:p>
    <w:p>
      <w:pPr>
        <w:spacing w:after="120" w:line="276"/>
        <w:ind w:left="360" w:hanging="360"/>
        <w:jc w:val="both"/>
      </w:pPr>
      <w:r>
        <w:t xml:space="preserve">3. В силу ч. 3 и 5 ст. 164.2 УПК РФ перевод цифровой валюты допускается только в целях обеспечения её сохранности и </w:t>
      </w:r>
      <w:r>
        <w:rPr>
          <w:b/>
          <w:bCs/>
        </w:rPr>
        <w:t xml:space="preserve">в порядке, установленном Правительством РФ</w:t>
      </w:r>
      <w:r>
        <w:t xml:space="preserve">, а хранение изъятой валюты также осуществляется в установленном им порядке. По п. 5, 7 и 11 Правил № 808 валюта переводится на адрес-идентификатор, открытый уполномоченной организацией для соответствующего государственного органа, и хранится в уполномоченной организации, которая отвечает за её сохранность (п. 6). Перевод на иные адреса допустим лишь при невозможности такого перевода, с участием специалиста и с исключением доступа посторонних лиц (п. 14), после чего валюта в течение 10 рабочих дней переводится на адрес по п. 5 (п. 15). Ни одно из этих условий не подтверждено: адрес получателя неизвестен, невозможность перевода на адрес по п. 5 Правил в протоколе не отражена.</w:t>
      </w:r>
    </w:p>
    <w:p>
      <w:pPr>
        <w:spacing w:after="120" w:line="276"/>
        <w:ind w:left="360" w:hanging="360"/>
        <w:jc w:val="both"/>
      </w:pPr>
      <w:r>
        <w:t xml:space="preserve">4. Согласно ч. 4 ст. 164.2 УПК РФ в протоколе следственного действия указываются </w:t>
      </w:r>
      <w:r>
        <w:rPr>
          <w:b/>
          <w:bCs/>
        </w:rPr>
        <w:t xml:space="preserve">вид цифровой валюты, её количество, адреса-идентификаторы отправителя и получателя</w:t>
      </w:r>
      <w:r>
        <w:t xml:space="preserve"> и иные данные, необходимые для идентификации операции. Этого требует и ч. 13 ст. 182 УПК РФ (точное указание количества и индивидуальных признаков изымаемого), а также ч. 5 ст. 166 УПК РФ (указание применённых технических средств и полученных результатов). Протокол таких сведений не содержит, а фото экрана с суммой операции их не заменяет.</w:t>
      </w:r>
    </w:p>
    <w:p>
      <w:pPr>
        <w:spacing w:after="120" w:line="276"/>
        <w:ind w:left="360" w:hanging="360"/>
        <w:jc w:val="both"/>
      </w:pPr>
      <w:r>
        <w:t xml:space="preserve">5. По п. 8 Правил № 808 государственный орган не позднее 3 рабочих дней со дня перевода обязан направить уведомление в уполномоченную организацию и агенту, а уполномоченная организация в течение 24 часов сообщает о получении или неполучении валюты (п. 9). Сведений о направлении уведомления в материалах нет; ходатайство защиты об этом не разрешено.</w:t>
      </w:r>
    </w:p>
    <w:p>
      <w:pPr>
        <w:spacing w:after="120" w:line="276"/>
        <w:ind w:left="360" w:hanging="360"/>
        <w:jc w:val="both"/>
      </w:pPr>
      <w:r>
        <w:t xml:space="preserve">6. Цифровая валюта является имуществом для целей уголовного судопроизводства (п. 13.1 ст. 5 УПК РФ) и уголовного закона (п. 2 примечаний к ст. 104.1 УК РФ). Перевод её на неустановленный адрес без специалиста и без фиксации реквизитов операции лишает [ФИО подзащитного] возможности контролировать сохранность имущества, исключает ответственность уполномоченной организации по п. 6 Правил № 808 и создаёт риск утраты валюты. Тем самым действия следователя способны причинить ущерб конституционному праву собственности (ч. 1, 2 ст. 35 Конституции РФ) и подлежат обжалованию по ч. 1 ст. 125 УПК РФ. Право на такую жалобу имеет, в частности, лицо, чьё имущество изъято в ходе досудебного производства (п. 5 Постановления Пленума Верховного Суда РФ от 10.02.2009 № 1 «О практике рассмотрения судами жалоб в порядке статьи 125 Уголовно-процессуального кодекса Российской Федерации»).</w:t>
      </w:r>
    </w:p>
    <w:p>
      <w:pPr>
        <w:spacing w:after="120" w:line="276"/>
        <w:ind w:left="360" w:hanging="360"/>
        <w:jc w:val="both"/>
      </w:pPr>
      <w:r>
        <w:t xml:space="preserve">7. Настоящая жалоба не касается оценки протокола обыска как доказательства: этот вопрос защита поставит перед судом, который будет рассматривать уголовное дело. Предметом жалобы являются действия следователя по изъятию, переводу и обеспечению сохранности имущества, которые не могут быть проверены на стадии судебного разбирательства с той же эффективностью, поскольку к этому времени валюта может быть утрачена.</w:t>
      </w:r>
    </w:p>
    <w:p>
      <w:pPr>
        <w:spacing w:after="120" w:line="276"/>
        <w:ind w:firstLine="709"/>
        <w:jc w:val="both"/>
      </w:pPr>
      <w:r>
        <w:t xml:space="preserve">Устранение допущенного нарушения, по мнению защиты, предполагает перевод цифровой валюты на адрес-идентификатор по п. 5 Правил № 808, внесение в материалы дела сведений о виде и количестве валюты, адресах отправителя и получателя и хэше транзакции, направление уведомления по п. 8 Правил № 808, упаковку и опечатывание изъятых носителей.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123, 125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незаконными действия следователя [наименование следственного органа] [ФИО следователя] по изъятию цифровой валюты USDT, принадлежащей [ФИО подзащитного], в ходе обыска [дата] по адресу: [адрес], выразившиеся в переводе цифровой валюты без участия специалиста на адрес-идентификатор, не предусмотренный Правилами № 808, без отражения в протоколе вида, количества валюты и адресов отправителя и получателя, а также в неопечатывании носителей с информацией о доступе к цифровой валюте.</w:t>
      </w:r>
    </w:p>
    <w:p>
      <w:pPr>
        <w:spacing w:after="120" w:line="276"/>
        <w:ind w:left="360" w:hanging="360"/>
        <w:jc w:val="both"/>
      </w:pPr>
      <w:r>
        <w:t xml:space="preserve">2. Обязать следователя [ФИО следователя] устранить допущенное нарушение.</w:t>
      </w:r>
    </w:p>
    <w:p>
      <w:pPr>
        <w:spacing w:after="120" w:line="276"/>
        <w:ind w:left="360" w:hanging="360"/>
        <w:jc w:val="both"/>
      </w:pPr>
      <w:r>
        <w:t xml:space="preserve">3. Истребовать у следователя для исследования в судебном заседании: протокол обыска от [дата] с приложениями; сведения о привлечении специалиста; уведомление о переводе цифровой валюты по п. 8 Правил № 808 и сообщение уполномоченной организации по п. 9 Правил № 808, если они имеются; материалы рассмотрения ходатайства защитника от [дата].</w:t>
      </w:r>
    </w:p>
    <w:p>
      <w:pPr>
        <w:spacing w:after="120" w:line="276"/>
        <w:ind w:left="360" w:hanging="360"/>
        <w:jc w:val="both"/>
      </w:pPr>
      <w:r>
        <w:t xml:space="preserve">4. Известить меня о дате и времени судебного заседания и обеспечить участие [ФИО подзащитного] в судебном заседании [путём использования систем видео-конференц-связи].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протокола обыска от [дата] с приложением.</w:t>
      </w:r>
    </w:p>
    <w:p>
      <w:pPr>
        <w:spacing w:after="120" w:line="276"/>
        <w:ind w:left="360" w:hanging="360"/>
        <w:jc w:val="both"/>
      </w:pPr>
      <w:r>
        <w:t xml:space="preserve">2. Копия постановления [наименование суда] от [дата] о разрешении производства обыска в жилище.</w:t>
      </w:r>
    </w:p>
    <w:p>
      <w:pPr>
        <w:spacing w:after="120" w:line="276"/>
        <w:ind w:left="360" w:hanging="360"/>
        <w:jc w:val="both"/>
      </w:pPr>
      <w:r>
        <w:t xml:space="preserve">3. Копия ходатайства защитника от [дата] с отметкой о принятии.</w:t>
      </w:r>
    </w:p>
    <w:p>
      <w:pPr>
        <w:spacing w:after="120" w:line="276"/>
        <w:ind w:left="360" w:hanging="360"/>
        <w:jc w:val="both"/>
      </w:pPr>
      <w:r>
        <w:t xml:space="preserve">4. Ордер адвоката от [дата] № [номер].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Адвокат [подпись] [ФИО защитника]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2026-10-25T15:27:15.790Z</dcterms:created>
  <dcterms:modified xsi:type="dcterms:W3CDTF">2026-10-25T15:27:15.790Z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