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города Москвы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Акционерное общество «[наименование]», ИНН [ИНН], ОГРН [ОГРН], 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компании] ([страна]), регистрационный номер [номер], адрес: [адрес]; адрес для переписки патентного поверенного в РФ: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Федеральная служба по интеллектуальной собственности (Роспатент),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 о предоставлении принудительной лицензии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 (подп. 2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предоставлении принудительной простой (неисключительной) лицензии на использование изобретений (п. 1 ст. 1362 ГК РФ)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Патенты ответчика и препарат</w:t>
      </w:r>
    </w:p>
    <w:p>
      <w:pPr>
        <w:spacing w:after="120" w:line="276"/>
        <w:ind w:firstLine="709"/>
        <w:jc w:val="both"/>
      </w:pPr>
      <w:r>
        <w:t xml:space="preserve">Ответчик является обладателем исключительных прав на изобретения по патентам Российской Федерации:</w:t>
      </w:r>
    </w:p>
    <w:p>
      <w:pPr>
        <w:spacing w:after="120" w:line="276"/>
        <w:ind w:left="360" w:hanging="360"/>
        <w:jc w:val="both"/>
      </w:pPr>
      <w:r>
        <w:t xml:space="preserve">1. № [номер] «[название]», выдан [дата] (охраняет действующее вещество [МНН]);</w:t>
      </w:r>
    </w:p>
    <w:p>
      <w:pPr>
        <w:spacing w:after="120" w:line="276"/>
        <w:ind w:left="360" w:hanging="360"/>
        <w:jc w:val="both"/>
      </w:pPr>
      <w:r>
        <w:t xml:space="preserve">2. № [номер] «[название]», выдан [дата] (охраняет лекарственную форму [форма]).</w:t>
      </w:r>
    </w:p>
    <w:p>
      <w:pPr>
        <w:spacing w:after="120" w:line="276"/>
        <w:ind w:firstLine="709"/>
        <w:jc w:val="both"/>
      </w:pPr>
      <w:r>
        <w:t xml:space="preserve">С даты выдачи каждого патента прошло более четырёх лет. Изобретения используются в лекарственном препарате ответчика [торговое наименование] (МНН [МНН]), который применяется для лечения [наименование заболевания]. Заболевание относится к редким (орфанным) по смыслу ст. 44 Федерального закона от 21.11.2011 № 323-ФЗ, лечение пациентов обеспечивается за счёт бюджетных средств. В Государственном реестре лекарственных средств, по данным на [дата], других препаратов с МНН [МНН] нет.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Ответчик не использует изобретения в объёме, нужном рынку</w:t>
      </w:r>
    </w:p>
    <w:p>
      <w:pPr>
        <w:spacing w:after="120" w:line="276"/>
        <w:ind w:firstLine="709"/>
        <w:jc w:val="both"/>
      </w:pPr>
      <w:r>
        <w:t xml:space="preserve">С [месяц, год] препарат ответчика официально в Российскую Федерацию не поставляется: [регистрационное удостоверение прекратило действие / препарат не регистрировался] (выписка из ГРЛС, приложение 4). В течение пяти лет ответчик и его дистрибьютор не подали ни одной заявки на участие в закупках препарата по Федеральному закону № 44-ФЗ, хотя в этот период проведено [число] закупок на сумму [сумма] руб. (сведения ЕИС, приложение 5).</w:t>
      </w:r>
    </w:p>
    <w:p>
      <w:pPr>
        <w:spacing w:after="120" w:line="276"/>
        <w:ind w:firstLine="709"/>
        <w:jc w:val="both"/>
      </w:pPr>
      <w:r>
        <w:t xml:space="preserve">Потребность пациентов покрывается только ввозом конкретных партий по разрешениям Минздрава России для оказания медицинской помощи по жизненным показаниям конкретного пациента (ч. 3 ст. 47 Федерального закона от 12.04.2010 № 61-ФЗ). По данным [наименование органа] от [дата] № [номер], в федеральном регистре [число] пациентов, которым препарат назначен, годовая потребность составляет [число] упаковок, а ввезено в [год] году [число] упаковок; пациенты получают терапию с перерывами (приложения 6, 7).</w:t>
      </w:r>
    </w:p>
    <w:p>
      <w:pPr>
        <w:spacing w:after="120" w:line="276"/>
        <w:ind w:firstLine="709"/>
        <w:jc w:val="both"/>
      </w:pPr>
      <w:r>
        <w:t xml:space="preserve">Дефицит вызван именно поведением ответчика: он отказался от поставок и от участия в торгах, единственных доступных способах поставки для бюджетных закупок. Конституционный Суд РФ в Постановлении от 12.03.2026 № 13-П прямо отнёс отказ патентообладателя от поставок и систематическое уклонение от торгов к признакам недостаточного использования патента, а сопоставление числа пациентов с объёмом поставок признал допустимым аргументом о критичности ситуации на рынке.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Истец желает и готов использовать изобретения</w:t>
      </w:r>
    </w:p>
    <w:p>
      <w:pPr>
        <w:spacing w:after="120" w:line="276"/>
        <w:ind w:firstLine="709"/>
        <w:jc w:val="both"/>
      </w:pPr>
      <w:r>
        <w:t xml:space="preserve">Истец является российским производителем лекарственных средств: лицензия на производство лекарственных средств № [номер] от [дата], заключение о соответствии производителя требованиям правил надлежащей производственной практики № [номер] от [дата]. На воспроизведённый препарат [торговое наименование истца] получено регистрационное удостоверение № [номер] от [дата]; биоэквивалентность оригинальному препарату подтверждена исследованием [реквизиты]. Мощность производственной линии составляет [число] упаковок в год, что покрывает годовую потребность, указанную в разделе 2 (приложения 8–11).</w:t>
      </w:r>
    </w:p>
    <w:p>
      <w:pPr>
        <w:spacing w:after="120" w:line="276"/>
        <w:ind w:firstLine="709"/>
        <w:jc w:val="both"/>
      </w:pPr>
      <w:r>
        <w:t xml:space="preserve">Изобретения по указанным патентам необходимы и достаточны для выпуска препарата с тем же терапевтическим эффектом: это подтверждает заключение патентного поверенного [ФИО] от [дата] (приложение 12). Иные патенты ответчика для выпуска препарата не требуются, поэтому в иск не включены.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Ответчик отказался заключить лицензионный договор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и его патентному поверенному предложение заключить договор простой (неисключительной) лицензии на условиях, указанных в разделе 6 (приложение 13). Письмом от [дата] ответчик отказался, сославшись на [причина] (приложение 14). [Если ответа не было: в течение 30 дней ответ не получен, что по аналогии с п. 1 ст. 445 ГК РФ (п. 43 Постановления Пленума Верховного Суда РФ от 23.04.2019 № 10) означает отказ.]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Уважительных причин неиспользования нет</w:t>
      </w:r>
    </w:p>
    <w:p>
      <w:pPr>
        <w:spacing w:after="120" w:line="276"/>
        <w:ind w:firstLine="709"/>
        <w:jc w:val="both"/>
      </w:pPr>
      <w:r>
        <w:t xml:space="preserve">Бремя доказывания уважительности причин лежит на патентообладателе (абз. 2 п. 1 ст. 1362 ГК РФ). Конституционный Суд РФ в Постановлении № 13-П указал, что недостаток возможностей для расширения производства, следование режиму санкций и борьба за сохранение монополии уважительными причинами не являются. Препарат ответчика поставляется в другие страны, производственных ограничений ответчик не заявлял.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Предлагаемые условия лицензии</w:t>
      </w:r>
    </w:p>
    <w:p>
      <w:pPr>
        <w:spacing w:after="120" w:line="276"/>
        <w:ind w:left="360" w:hanging="360"/>
        <w:jc w:val="both"/>
      </w:pPr>
      <w:r>
        <w:t xml:space="preserve">1. Объекты: изобретения по патентам № [номер] и № [номер].</w:t>
      </w:r>
    </w:p>
    <w:p>
      <w:pPr>
        <w:spacing w:after="120" w:line="276"/>
        <w:ind w:left="360" w:hanging="360"/>
        <w:jc w:val="both"/>
      </w:pPr>
      <w:r>
        <w:t xml:space="preserve">2. Способы использования: изготовление, хранение, предложение о продаже и продажа лекарственного препарата с МНН [МНН] в лекарственной форме [форма].</w:t>
      </w:r>
    </w:p>
    <w:p>
      <w:pPr>
        <w:spacing w:after="120" w:line="276"/>
        <w:ind w:left="360" w:hanging="360"/>
        <w:jc w:val="both"/>
      </w:pPr>
      <w:r>
        <w:t xml:space="preserve">3. Объём: для поставок по контрактам, заключаемым по Федеральному закону № 44-ФЗ, не более [число] упаковок в год.</w:t>
      </w:r>
    </w:p>
    <w:p>
      <w:pPr>
        <w:spacing w:after="120" w:line="276"/>
        <w:ind w:left="360" w:hanging="360"/>
        <w:jc w:val="both"/>
      </w:pPr>
      <w:r>
        <w:t xml:space="preserve">4. Территория: Российская Федерация.</w:t>
      </w:r>
    </w:p>
    <w:p>
      <w:pPr>
        <w:spacing w:after="120" w:line="276"/>
        <w:ind w:left="360" w:hanging="360"/>
        <w:jc w:val="both"/>
      </w:pPr>
      <w:r>
        <w:t xml:space="preserve">5. Срок: три года с даты государственной регистрации предоставления права использования.</w:t>
      </w:r>
    </w:p>
    <w:p>
      <w:pPr>
        <w:spacing w:after="120" w:line="276"/>
        <w:ind w:left="360" w:hanging="360"/>
        <w:jc w:val="both"/>
      </w:pPr>
      <w:r>
        <w:t xml:space="preserve">6. Вознаграждение: 5% выручки лицензиата (без НДС) от продажи препарата, ежегодно не позднее 31 января года, следующего за отчётным, с представлением лицензиару отчёта об объёмах продаж.</w:t>
      </w:r>
    </w:p>
    <w:p>
      <w:pPr>
        <w:spacing w:after="120" w:line="276"/>
        <w:ind w:left="360" w:hanging="360"/>
        <w:jc w:val="both"/>
      </w:pPr>
      <w:r>
        <w:t xml:space="preserve">7. Лицензия не может быть передана, сублицензии не выдаются.</w:t>
      </w:r>
    </w:p>
    <w:p>
      <w:pPr>
        <w:spacing w:after="120" w:line="276"/>
        <w:ind w:firstLine="709"/>
        <w:jc w:val="both"/>
      </w:pPr>
      <w:r>
        <w:t xml:space="preserve">Ставка 5% не ниже цены лицензии при сравнимых обстоятельствах (абз. 2 п. 1 ст. 1362 ГК РФ): по отчёту об оценке рыночной ставки роялти № [номер] от [дата] диапазон для сопоставимых лицензий на лекарственные препараты составляет [диапазон] (приложение 15). Объём ограничен потребностью бюджетных закупок, что соответствует позиции Конституционного Суда РФ о соразмерности лицензии реальной потребности рынка.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Подсудность</w:t>
      </w:r>
    </w:p>
    <w:p>
      <w:pPr>
        <w:spacing w:after="120" w:line="276"/>
        <w:ind w:firstLine="709"/>
        <w:jc w:val="both"/>
      </w:pPr>
      <w:r>
        <w:t xml:space="preserve">Ответчик является иностранным лицом. Исключительные права ответчика по патентам Российской Федерации, на использование которых испрашивается лицензия, действуют на территории Российской Федерации, спор тесно связан с ней (п. 1, 10 ч. 1 ст. 247 АПК РФ). Иск предъявляется по месту нахождения имущества ответчика в Российской Федерации (ч. 3 ст. 36 АПК РФ). Роспатент привлекается третьим лицом, так как регистрирует предоставление права на основании решения суда (п. 3 ст. 1362 ГК РФ, ст. 51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1239, п. 1 ст. 1362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Предоставить Акционерному обществу «[наименование]» принудительную простую (неисключительную) лицензию на использование на территории Российской Федерации изобретений по патентам Российской Федерации № [номер] и № [номер] на условиях, указанных в пунктах 1–7 раздела 6 искового заявления.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ответчика] в пользу истца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Ходатайства:</w:t>
      </w:r>
    </w:p>
    <w:p>
      <w:pPr>
        <w:spacing w:after="120" w:line="276"/>
        <w:ind w:left="360" w:hanging="360"/>
        <w:jc w:val="both"/>
      </w:pPr>
      <w:r>
        <w:t xml:space="preserve">1. Назначить судебную патентно-техническую экспертизу (ст. 82 АПК РФ) по вопросу: используется ли каждый признак независимого пункта формулы изобретений по патентам № [номер] и № [номер] в препарате [торговое наименование ответчика] и в препарате истца; проведение поручить [экспертная организация].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органа] сведения об объёмах ввоза препарата по разрешениям Минздрава России и о закупках за [период] (ч. 4 ст. 66 АПК РФ).</w:t>
      </w:r>
    </w:p>
    <w:p>
      <w:pPr>
        <w:spacing w:after="120" w:line="276"/>
        <w:ind w:left="360" w:hanging="360"/>
        <w:jc w:val="both"/>
      </w:pPr>
      <w:r>
        <w:t xml:space="preserve">3. Рассматривать дело в закрытом заседании в части сведений о производственных мощностях и себестоимости истца (ч. 2 ст. 11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Выписки из Государственного реестра изобретений РФ по патентам.</w:t>
      </w:r>
    </w:p>
    <w:p>
      <w:pPr>
        <w:spacing w:after="120" w:line="276"/>
        <w:ind w:left="360" w:hanging="360"/>
        <w:jc w:val="both"/>
      </w:pPr>
      <w:r>
        <w:t xml:space="preserve">4. Выписка из Государственного реестра лекарственных средств.</w:t>
      </w:r>
    </w:p>
    <w:p>
      <w:pPr>
        <w:spacing w:after="120" w:line="276"/>
        <w:ind w:left="360" w:hanging="360"/>
        <w:jc w:val="both"/>
      </w:pPr>
      <w:r>
        <w:t xml:space="preserve">5. Сведения ЕИС о закупках препарата за [период].</w:t>
      </w:r>
    </w:p>
    <w:p>
      <w:pPr>
        <w:spacing w:after="120" w:line="276"/>
        <w:ind w:left="360" w:hanging="360"/>
        <w:jc w:val="both"/>
      </w:pPr>
      <w:r>
        <w:t xml:space="preserve">6. Письмо [наименование органа] о потребности и числе пациентов.</w:t>
      </w:r>
    </w:p>
    <w:p>
      <w:pPr>
        <w:spacing w:after="120" w:line="276"/>
        <w:ind w:left="360" w:hanging="360"/>
        <w:jc w:val="both"/>
      </w:pPr>
      <w:r>
        <w:t xml:space="preserve">7. Сведения о разрешениях на ввоз и объёмах ввоза.</w:t>
      </w:r>
    </w:p>
    <w:p>
      <w:pPr>
        <w:spacing w:after="120" w:line="276"/>
        <w:ind w:left="360" w:hanging="360"/>
        <w:jc w:val="both"/>
      </w:pPr>
      <w:r>
        <w:t xml:space="preserve">8. Лицензия на производство лекарственных средств.</w:t>
      </w:r>
    </w:p>
    <w:p>
      <w:pPr>
        <w:spacing w:after="120" w:line="276"/>
        <w:ind w:left="360" w:hanging="360"/>
        <w:jc w:val="both"/>
      </w:pPr>
      <w:r>
        <w:t xml:space="preserve">9. Заключение о соответствии производства правилам GMP.</w:t>
      </w:r>
    </w:p>
    <w:p>
      <w:pPr>
        <w:spacing w:after="120" w:line="276"/>
        <w:ind w:left="360" w:hanging="360"/>
        <w:jc w:val="both"/>
      </w:pPr>
      <w:r>
        <w:t xml:space="preserve">10. Регистрационное удостоверение на препарат истца.</w:t>
      </w:r>
    </w:p>
    <w:p>
      <w:pPr>
        <w:spacing w:after="120" w:line="276"/>
        <w:ind w:left="360" w:hanging="360"/>
        <w:jc w:val="both"/>
      </w:pPr>
      <w:r>
        <w:t xml:space="preserve">11. Отчёт об исследовании биоэквивалентности (выписка).</w:t>
      </w:r>
    </w:p>
    <w:p>
      <w:pPr>
        <w:spacing w:after="120" w:line="276"/>
        <w:ind w:left="360" w:hanging="360"/>
        <w:jc w:val="both"/>
      </w:pPr>
      <w:r>
        <w:t xml:space="preserve">12. Заключение патентного поверенного.</w:t>
      </w:r>
    </w:p>
    <w:p>
      <w:pPr>
        <w:spacing w:after="120" w:line="276"/>
        <w:ind w:left="360" w:hanging="360"/>
        <w:jc w:val="both"/>
      </w:pPr>
      <w:r>
        <w:t xml:space="preserve">13. Предложение о заключении лицензионного договора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14. Ответ ответчика.</w:t>
      </w:r>
    </w:p>
    <w:p>
      <w:pPr>
        <w:spacing w:after="120" w:line="276"/>
        <w:ind w:left="360" w:hanging="360"/>
        <w:jc w:val="both"/>
      </w:pPr>
      <w:r>
        <w:t xml:space="preserve">15. Отчёт об оценке рыночной ставки роялти.</w:t>
      </w:r>
    </w:p>
    <w:p>
      <w:pPr>
        <w:spacing w:after="120" w:line="276"/>
        <w:ind w:left="360" w:hanging="360"/>
        <w:jc w:val="both"/>
      </w:pPr>
      <w:r>
        <w:t xml:space="preserve">16. Выписка из ЕГРЮЛ на истца, документы о статусе ответчика.</w:t>
      </w:r>
    </w:p>
    <w:p>
      <w:pPr>
        <w:spacing w:after="120" w:line="276"/>
        <w:ind w:left="360" w:hanging="360"/>
        <w:jc w:val="both"/>
      </w:pPr>
      <w:r>
        <w:t xml:space="preserve">17.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[Должность, ФИО]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2026-10-25T18:38:15.169Z</dcterms:created>
  <dcterms:modified xsi:type="dcterms:W3CDTF">2026-10-25T18:38:15.169Z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