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(залогодержатель):</w:t>
      </w:r>
      <w:r>
        <w:t xml:space="preserve"> ООО «[наименование]»,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(залогодатель, поручитель):</w:t>
      </w:r>
      <w:r>
        <w:t xml:space="preserve"> ООО «[наименование]»,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(покупатель):</w:t>
      </w:r>
      <w:r>
        <w:t xml:space="preserve"> ООО «[наименование]», ИНН [ИНН],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ПИСЬМЕННЫЕ ПОЯСНЕНИЯ ИСТЦА</w:t>
      </w:r>
    </w:p>
    <w:p>
      <w:pPr>
        <w:spacing w:after="160" w:before="200"/>
        <w:jc w:val="center"/>
      </w:pPr>
      <w:r>
        <w:rPr>
          <w:b/>
          <w:bCs/>
        </w:rPr>
        <w:t xml:space="preserve">о предметах залога, достаточных для удовлетворения требования, на случай снижения неустойки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ООО «[наименование истца]» к ООО «[наименование ответчика]» о взыскании задолженности по договору поручительства с залогом имущества поручителя от [дата] № [номер] и об обращении взыскания на заложенное имущество.</w:t>
      </w:r>
    </w:p>
    <w:p>
      <w:pPr>
        <w:spacing w:after="120" w:line="276"/>
        <w:ind w:firstLine="709"/>
        <w:jc w:val="both"/>
      </w:pPr>
      <w:r>
        <w:t xml:space="preserve">Истец (поставщик горюче-смазочных материалов) поставил третьему лицу товар по договорам поставки от [дата] № [номер] и от [дата] № [номер]. Обязательства покупателя обеспечены поручительством ответчика и залогом принадлежащих ему семи единиц спецтехники общей залоговой стоимостью [21 000 000] руб. Основной долг за поставленный товар составляет [4 800 000] руб., неустойка по п. [номер] договора поручительства на [дата] составляет [7 200 000] руб. Просрочка оплаты длится с [дата], то есть [240] дней.</w:t>
      </w:r>
    </w:p>
    <w:p>
      <w:pPr>
        <w:spacing w:after="120" w:line="276"/>
        <w:ind w:firstLine="709"/>
        <w:jc w:val="both"/>
      </w:pPr>
      <w:r>
        <w:t xml:space="preserve">В отзыве от [дата] ответчик заявил о снижении неустойки по ст. 333 ГК РФ и указал, что после такого снижения стоимость залога будет явно несоразмерна долгу. Истец возражает против снижения неустойки по доводам, изложенным в возражениях на отзыв от [дата]. На случай, если суд придёт к иному выводу, истец в порядке ст. 81 АПК РФ даёт следующие пояснения.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Пункт 2 статьи 348 ГК РФ не препятствует обращению взыскания даже при снижении неустойки.</w:t>
      </w:r>
    </w:p>
    <w:p>
      <w:pPr>
        <w:spacing w:after="120" w:line="276"/>
        <w:ind w:firstLine="709"/>
        <w:jc w:val="both"/>
      </w:pPr>
      <w:r>
        <w:t xml:space="preserve">Презумпция незначительности нарушения действует только при одновременном соблюдении двух условий: сумма неисполненного обязательства менее 5% стоимости заложенного имущества и просрочка менее трёх месяцев (п. 2 ст. 348 ГК РФ). Одного основного долга, без неустойки, достаточно, чтобы исключить её применение:</w:t>
      </w:r>
    </w:p>
    <w:p>
      <w:pPr>
        <w:spacing w:after="120" w:line="276"/>
        <w:ind w:left="360" w:hanging="360"/>
        <w:jc w:val="both"/>
      </w:pPr>
      <w:r>
        <w:t xml:space="preserve">1. отношение основного долга к общей стоимости залога: [4 800 000] / [21 000 000] = [22,9]%, то есть более 5%;</w:t>
      </w:r>
    </w:p>
    <w:p>
      <w:pPr>
        <w:spacing w:after="120" w:line="276"/>
        <w:ind w:left="360" w:hanging="360"/>
        <w:jc w:val="both"/>
      </w:pPr>
      <w:r>
        <w:t xml:space="preserve">2. срок просрочки: [240] дней, то есть более трёх месяцев.</w:t>
      </w:r>
    </w:p>
    <w:p>
      <w:pPr>
        <w:spacing w:after="120" w:line="276"/>
        <w:ind w:firstLine="709"/>
        <w:jc w:val="both"/>
      </w:pPr>
      <w:r>
        <w:t xml:space="preserve">Договор залога не содержит условия об обращении взыскания исключительно на всё имущество в целом, техника не образует имущественный комплекс: каждая единица имеет самостоятельное назначение, отдельный паспорт и может быть реализована отдельно. Поэтому сумма неисполненного обязательства может сопоставляться со стоимостью одной вещи (п. 56 постановления Пленума Верховного Суда РФ от 27.06.2023 № 23 «О применении судами правил о залоге вещей», далее Пленум № 23). Основной долг составляет [90,6]% стоимости самой дорогой единицы (автокран, [5 300 000] руб.) и превышает стоимость любой другой единицы.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Истец не уточняет требования и поддерживает иск в полном объёме.</w:t>
      </w:r>
    </w:p>
    <w:p>
      <w:pPr>
        <w:spacing w:after="120" w:line="276"/>
        <w:ind w:firstLine="709"/>
        <w:jc w:val="both"/>
      </w:pPr>
      <w:r>
        <w:t xml:space="preserve">Первоначальное требование истца ([12 000 000] руб.) составляет более половины стоимости залога, и до принятия решения истцу не известно, будет ли удовлетворено заявление ответчика по ст. 333 ГК РФ. Истец добросовестно пользуется процессуальными правами и не обязан изменять предмет иска (ч. 2 ст. 41, ч. 1 ст. 49 АПК РФ). При снижении неустойки суд самостоятельно определяет, на какие из заложенных вещей достаточно обратить взыскание с учётом итоговой присуждённой суммы (п. 69 Пленума № 23; Определение Судебной коллегии по экономическим спорам Верховного Суда РФ от 03.06.2026 № 305-ЭС25-14813, п. 12 Обзора судебной практики Верховного Суда РФ № 3 (2026), утв. Президиумом Верховного Суда РФ 14.10.2026).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Сведения о стоимости каждой единицы и предложение истца.</w:t>
      </w:r>
    </w:p>
    <w:p>
      <w:pPr>
        <w:spacing w:after="120" w:line="276"/>
        <w:ind w:firstLine="709"/>
        <w:jc w:val="both"/>
      </w:pPr>
      <w:r>
        <w:t xml:space="preserve">Для того чтобы выбор был сделан с учётом ликвидности имущества, истец представляет стоимость каждой единицы по договору залога и по отчёту оценщика [наименование оценщика] от [дата] № [номер]:</w:t>
      </w:r>
    </w:p>
    <w:p>
      <w:pPr>
        <w:spacing w:after="120" w:line="276"/>
        <w:ind w:left="360" w:hanging="360"/>
        <w:jc w:val="both"/>
      </w:pPr>
      <w:r>
        <w:t xml:space="preserve">1. Экскаватор гусеничный [марка, модель], заводской № [номер], [год] г. в.: по договору [3 200 000] руб., по отчёту [3 450 000] руб.</w:t>
      </w:r>
    </w:p>
    <w:p>
      <w:pPr>
        <w:spacing w:after="120" w:line="276"/>
        <w:ind w:left="360" w:hanging="360"/>
        <w:jc w:val="both"/>
      </w:pPr>
      <w:r>
        <w:t xml:space="preserve">2. Экскаватор колёсный [марка, модель], заводской № [номер], [год] г. в.: по договору [2 900 000] руб., по отчёту [3 050 000] руб.</w:t>
      </w:r>
    </w:p>
    <w:p>
      <w:pPr>
        <w:spacing w:after="120" w:line="276"/>
        <w:ind w:left="360" w:hanging="360"/>
        <w:jc w:val="both"/>
      </w:pPr>
      <w:r>
        <w:t xml:space="preserve">3. Самосвал [марка, модель], VIN [номер], [год] г. в.: по договору [2 100 000] руб., по отчёту [2 250 000] руб.</w:t>
      </w:r>
    </w:p>
    <w:p>
      <w:pPr>
        <w:spacing w:after="120" w:line="276"/>
        <w:ind w:left="360" w:hanging="360"/>
        <w:jc w:val="both"/>
      </w:pPr>
      <w:r>
        <w:t xml:space="preserve">4. Бульдозер [марка, модель], заводской № [номер]: по договору [4 600 000] руб., по отчёту [4 800 000] руб.</w:t>
      </w:r>
    </w:p>
    <w:p>
      <w:pPr>
        <w:spacing w:after="120" w:line="276"/>
        <w:ind w:left="360" w:hanging="360"/>
        <w:jc w:val="both"/>
      </w:pPr>
      <w:r>
        <w:t xml:space="preserve">5. Автокран [марка, модель], VIN [номер]: по договору [5 300 000] руб., по отчёту [5 500 000] руб.</w:t>
      </w:r>
    </w:p>
    <w:p>
      <w:pPr>
        <w:spacing w:after="120" w:line="276"/>
        <w:ind w:left="360" w:hanging="360"/>
        <w:jc w:val="both"/>
      </w:pPr>
      <w:r>
        <w:t xml:space="preserve">6. Фронтальный погрузчик [марка, модель], заводской № [номер]: по договору [1 900 000] руб., по отчёту [2 000 000] руб.</w:t>
      </w:r>
    </w:p>
    <w:p>
      <w:pPr>
        <w:spacing w:after="120" w:line="276"/>
        <w:ind w:left="360" w:hanging="360"/>
        <w:jc w:val="both"/>
      </w:pPr>
      <w:r>
        <w:t xml:space="preserve">7. Каток дорожный [марка, модель], заводской № [номер]: по договору [1 000 000] руб., по отчёту [1 100 000] руб.</w:t>
      </w:r>
    </w:p>
    <w:p>
      <w:pPr>
        <w:spacing w:after="120" w:line="276"/>
        <w:ind w:firstLine="709"/>
        <w:jc w:val="both"/>
      </w:pPr>
      <w:r>
        <w:t xml:space="preserve">Если суд снизит неустойку, истец просит обратить взыскание на единицы № 1, 2 и 3. Их совокупная стоимость по договору залога составляет [8 200 000] руб., а с учётом снижения начальной цены на 15% на повторных торгах (п. 4 ст. 350.2 ГК РФ) составит [6 970 000] руб. Этого достаточно для погашения основного долга [4 800 000] руб., неустойки в размере до [2 000 000] руб. и судебных расходов. Перечисленная техника востребована на рынке и реализуется быстрее, чем автокран и бульдозер, которые ответчик использует в текущей деятельности.</w:t>
      </w:r>
    </w:p>
    <w:p>
      <w:pPr>
        <w:spacing w:after="120" w:line="276"/>
        <w:ind w:firstLine="709"/>
        <w:jc w:val="both"/>
      </w:pPr>
      <w:r>
        <w:t xml:space="preserve">Суд вправе по ходатайству залогодержателя определить очерёдность реализации вещей с учётом их цены и срока продажи (п. 68 Пленума № 23, абз. 3 ч. 5 ст. 170 АПК РФ). Соглашение о внесудебном порядке и об оставлении предмета залога за залогодержателем стороны не заключали, поэтому реализация производится путём продажи с публичных торгов (п. 1 ст. 350 ГК РФ), а начальной продажной ценой является согласованная в договоре стоимость (п. 3 ст. 340 ГК РФ, п. 83 Пленума № 23).</w:t>
      </w:r>
    </w:p>
    <w:p>
      <w:pPr>
        <w:spacing w:after="120" w:line="276"/>
        <w:ind w:firstLine="709"/>
        <w:jc w:val="both"/>
      </w:pPr>
      <w:r>
        <w:t xml:space="preserve">Если выручки от продажи указанных единиц окажется недостаточно, истец сохраняет право требовать обращения взыскания на оставшееся имущество (п. 69 Пленума № 23).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41, 49, 81 АПК РФ, ст. 340, 348, 350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приложенные документы к материалам дела.</w:t>
      </w:r>
    </w:p>
    <w:p>
      <w:pPr>
        <w:spacing w:after="120" w:line="276"/>
        <w:ind w:left="360" w:hanging="360"/>
        <w:jc w:val="both"/>
      </w:pPr>
      <w:r>
        <w:t xml:space="preserve">2. Удовлетворить иск в полном объёме и обратить взыскание на все предметы залога по договору от [дата] № [номер] путём продажи с публичных торгов с установлением начальной продажной цены в размере стоимости, согласованной в договоре залога.</w:t>
      </w:r>
    </w:p>
    <w:p>
      <w:pPr>
        <w:spacing w:after="120" w:line="276"/>
        <w:ind w:left="360" w:hanging="360"/>
        <w:jc w:val="both"/>
      </w:pPr>
      <w:r>
        <w:t xml:space="preserve">3. В случае удовлетворения заявления ответчика о снижении неустойки по ст. 333 ГК РФ обратить взыскание на экскаватор гусеничный [марка], экскаватор колёсный [марка] и самосвал [марка] путём продажи с публичных торгов с начальной продажной ценой [3 200 000] руб., [2 900 000] руб. и [2 100 000] руб. соответственно.</w:t>
      </w:r>
    </w:p>
    <w:p>
      <w:pPr>
        <w:spacing w:after="120" w:line="276"/>
        <w:ind w:left="360" w:hanging="360"/>
        <w:jc w:val="both"/>
      </w:pPr>
      <w:r>
        <w:t xml:space="preserve">4. Установить очерёдность реализации: в первую очередь экскаватор гусеничный, во вторую очередь экскаватор колёсный, при недостаточности вырученных средств самосвал.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поручительства с залогом имущества поручителя от [дата] № [номер] с перечнем предметов залога.</w:t>
      </w:r>
    </w:p>
    <w:p>
      <w:pPr>
        <w:spacing w:after="120" w:line="276"/>
        <w:ind w:left="360" w:hanging="360"/>
        <w:jc w:val="both"/>
      </w:pPr>
      <w:r>
        <w:t xml:space="preserve">2. Копия отчёта об оценке от [дата] № [номер].</w:t>
      </w:r>
    </w:p>
    <w:p>
      <w:pPr>
        <w:spacing w:after="120" w:line="276"/>
        <w:ind w:left="360" w:hanging="360"/>
        <w:jc w:val="both"/>
      </w:pPr>
      <w:r>
        <w:t xml:space="preserve">3. Расчёт соотношения задолженности и стоимости предметов залога, расчёт срока просрочки.</w:t>
      </w:r>
    </w:p>
    <w:p>
      <w:pPr>
        <w:spacing w:after="120" w:line="276"/>
        <w:ind w:left="360" w:hanging="360"/>
        <w:jc w:val="both"/>
      </w:pPr>
      <w:r>
        <w:t xml:space="preserve">4. Копии паспортов самоходных машин и паспорта транспортного средства.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пояснений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истца]»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2026-10-25T19:19:25.647Z</dcterms:created>
  <dcterms:modified xsi:type="dcterms:W3CDTF">2026-10-25T19:19:25.647Z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