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страховой компании]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11 700 000 руб. [уточнить по исковому заявлению]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имущественных потерь по ст. 406.1 ГК РФ</w:t>
      </w:r>
    </w:p>
    <w:p>
      <w:pPr>
        <w:spacing w:after="120" w:line="276"/>
        <w:ind w:firstLine="709"/>
        <w:jc w:val="both"/>
      </w:pPr>
      <w:r>
        <w:t xml:space="preserve">[Наименование страховой компании] (далее Истец) обратилось с иском к ООО «[наименование]» (далее Ответчик) о взыскании [сумма] руб. имущественных потерь за период с 01.01.2025 по 31.12.2025 на основании договора об организации медицинского обслуживания застрахованных от [дата] № [номер] (далее Договор) и соглашения о возмещении имущественных потерь от [дата] (далее Соглашение).</w:t>
      </w:r>
    </w:p>
    <w:p>
      <w:pPr>
        <w:spacing w:after="120" w:line="276"/>
        <w:ind w:firstLine="709"/>
        <w:jc w:val="both"/>
      </w:pPr>
      <w:r>
        <w:t xml:space="preserve">Ответчик организует оказание медицинской помощи лицам, застрахованным Истцом по договорам добровольного медицинского страхования, в собственных клиниках и через медицинские организации-партнёры. По п. [номер] Соглашения Ответчик возмещает Истцу потери, если фактические расходы на медицинское обслуживание застрахованных за отчётный период превысят предельную величину, рассчитываемую по формуле п. [номер] Соглашения исходя из лимита расходов на одного застрахованного и численности застрахованных.</w:t>
      </w:r>
    </w:p>
    <w:p>
      <w:pPr>
        <w:spacing w:after="120" w:line="276"/>
        <w:ind w:firstLine="709"/>
        <w:jc w:val="both"/>
      </w:pPr>
      <w:r>
        <w:t xml:space="preserve">Ответчик не оспаривает, что Соглашение заключено сторонами при осуществлении предпринимательской деятельности (п. 1 ст. 406.1 ГК РФ). Ответчик не согласен с размером заявленных потерь, поскольку Истец не доказал ни наступление предусмотренных Соглашением обстоятельств в заявленном объёме, ни правильность расчёта.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Истец обязан доказать наступление обстоятельства и обосновать каждую величину расчёта</w:t>
      </w:r>
    </w:p>
    <w:p>
      <w:pPr>
        <w:spacing w:after="120" w:line="276"/>
        <w:ind w:firstLine="709"/>
        <w:jc w:val="both"/>
      </w:pPr>
      <w:r>
        <w:t xml:space="preserve">Заявляя требование о возмещении потерь по ст. 406.1 ГК РФ, кредитор должен доказать факт наступления определённых в соглашении обстоятельств и разумность избранного сторонами способа определения размера потерь (п. 13 Обзора судебной практики Верховного Суда Российской Федерации № 3 (2026), утв. Президиумом Верховного Суда РФ 14.10.2026; Определение Судебной коллегии по экономическим спорам Верховного Суда РФ от 26.05.2026 № 305-ЭС26-602).</w:t>
      </w:r>
    </w:p>
    <w:p>
      <w:pPr>
        <w:spacing w:after="120" w:line="276"/>
        <w:ind w:firstLine="709"/>
        <w:jc w:val="both"/>
      </w:pPr>
      <w:r>
        <w:t xml:space="preserve">Статья 406.1 ГК РФ не допускает возмещения потерь в произвольном размере и не освобождает кредитора от раскрытия доказательств, подтверждающих как факт возникновения потерь, так и разумность алгоритма их определения (Определение Судебной коллегии по экономическим спорам Верховного Суда РФ от 14.11.2023 № 305-ЭС23-11168). Возмещению подлежат лишь потери, которые уже понесены или с неизбежностью будут понесены, при наличии причинной связи между наступлением обстоятельства и потерями (п. 15 постановления Пленума Верховного Суда РФ от 24.03.2016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Формула Соглашения в расчёте Истца не раскрыта</w:t>
      </w:r>
    </w:p>
    <w:p>
      <w:pPr>
        <w:spacing w:after="120" w:line="276"/>
        <w:ind w:firstLine="709"/>
        <w:jc w:val="both"/>
      </w:pPr>
      <w:r>
        <w:t xml:space="preserve">К иску приложен расчёт, в котором приведены только итоговые значения: «фактические расходы» [сумма] руб., «предельная величина» [сумма] руб. и их разница. Истец не указал:</w:t>
      </w:r>
    </w:p>
    <w:p>
      <w:pPr>
        <w:spacing w:after="120" w:line="276"/>
        <w:ind w:left="360" w:hanging="360"/>
        <w:jc w:val="both"/>
      </w:pPr>
      <w:r>
        <w:t xml:space="preserve">1. среднесписочную численность застрахованных за каждый месяц 2025 года и способ её определения;</w:t>
      </w:r>
    </w:p>
    <w:p>
      <w:pPr>
        <w:spacing w:after="120" w:line="276"/>
        <w:ind w:left="360" w:hanging="360"/>
        <w:jc w:val="both"/>
      </w:pPr>
      <w:r>
        <w:t xml:space="preserve">2. перечень медицинских услуг и счетов, включённых в фактические расходы, с указанием медицинской организации, застрахованного, программы ДМС и даты оказания услуги;</w:t>
      </w:r>
    </w:p>
    <w:p>
      <w:pPr>
        <w:spacing w:after="120" w:line="276"/>
        <w:ind w:left="360" w:hanging="360"/>
        <w:jc w:val="both"/>
      </w:pPr>
      <w:r>
        <w:t xml:space="preserve">3. применённое значение лимита расходов на одного застрахованного по каждой программе страхования;</w:t>
      </w:r>
    </w:p>
    <w:p>
      <w:pPr>
        <w:spacing w:after="120" w:line="276"/>
        <w:ind w:left="360" w:hanging="360"/>
        <w:jc w:val="both"/>
      </w:pPr>
      <w:r>
        <w:t xml:space="preserve">4. данные о возвратах страховой премии и расторжении договоров страхования в течение периода.</w:t>
      </w:r>
    </w:p>
    <w:p>
      <w:pPr>
        <w:spacing w:after="120" w:line="276"/>
        <w:ind w:firstLine="709"/>
        <w:jc w:val="both"/>
      </w:pPr>
      <w:r>
        <w:t xml:space="preserve">Без этих данных расчёт проверить невозможно. Ссылка на то, что расчёт ответчиком не опровергнут, при таких обстоятельствах не может служить основанием для удовлетворения иска (п. 13 Обзора № 3 (2026)). Ответчик прямо оспаривает каждую из величин расчёта (ч. 3.1 ст. 70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 расчёт включены расходы, на которые Соглашение не распространяется</w:t>
      </w:r>
    </w:p>
    <w:p>
      <w:pPr>
        <w:spacing w:after="120" w:line="276"/>
        <w:ind w:firstLine="709"/>
        <w:jc w:val="both"/>
      </w:pPr>
      <w:r>
        <w:t xml:space="preserve">По данным Ответчика, в фактические расходы Истец включил:</w:t>
      </w:r>
    </w:p>
    <w:p>
      <w:pPr>
        <w:spacing w:after="120" w:line="276"/>
        <w:ind w:left="360" w:hanging="360"/>
        <w:jc w:val="both"/>
      </w:pPr>
      <w:r>
        <w:t xml:space="preserve">1. стоимость услуг, не входящих в программы ДМС, на сумму [сумма] руб., оплаченных по гарантийным письмам Истца от [даты] (стоматологическое протезирование, [иные услуги]). Соглашение учитывает только расходы на услуги в пределах программ страхования (п. [номер] Соглашения);</w:t>
      </w:r>
    </w:p>
    <w:p>
      <w:pPr>
        <w:spacing w:after="120" w:line="276"/>
        <w:ind w:left="360" w:hanging="360"/>
        <w:jc w:val="both"/>
      </w:pPr>
      <w:r>
        <w:t xml:space="preserve">2. расходы на [количество] застрахованных, исключённых из списков по договорам страхования с [дата], на сумму [сумма] руб., при этом указанные лица одновременно исключены из численности, от которой рассчитывается предельная величина;</w:t>
      </w:r>
    </w:p>
    <w:p>
      <w:pPr>
        <w:spacing w:after="120" w:line="276"/>
        <w:ind w:left="360" w:hanging="360"/>
        <w:jc w:val="both"/>
      </w:pPr>
      <w:r>
        <w:t xml:space="preserve">3. счета за декабрь 2024 года на сумму [сумма] руб., относящиеся к предыдущему отчётному периоду.</w:t>
      </w:r>
    </w:p>
    <w:p>
      <w:pPr>
        <w:spacing w:after="120" w:line="276"/>
        <w:ind w:firstLine="709"/>
        <w:jc w:val="both"/>
      </w:pPr>
      <w:r>
        <w:t xml:space="preserve">Общая сумма необоснованно включённых расходов составляет [сумма] руб. Контррасчёт Ответчика прилагается: при исключении указанных сумм фактические расходы не превышают предельную величину [либо: превышение составляет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Истец умышленно содействовал увеличению размера потерь</w:t>
      </w:r>
    </w:p>
    <w:p>
      <w:pPr>
        <w:spacing w:after="120" w:line="276"/>
        <w:ind w:firstLine="709"/>
        <w:jc w:val="both"/>
      </w:pPr>
      <w:r>
        <w:t xml:space="preserve">Услуги сверх программ ДМС оказаны по гарантийным письмам, которые Истец выдал самостоятельно, несмотря на возражения Ответчика от [дата] № [номер] о превышении лимита. Суд не может уменьшить размер возмещения потерь, за исключением случаев, если доказано, что сторона умышленно содействовала увеличению размера потерь (п. 2 ст. 406.1 ГК РФ). Расходы, понесённые по собственной инициативе Истца вопреки возражениям Ответчика, не могут быть возложены на Ответчика.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Документы, необходимые для проверки расчёта, находятся у Истца. Ответчик их не имеет: реестры прямых расчётов Истца с медицинскими организациями, списки застрахованных и сведения о премии Ответчику не передавались. Запрос Ответчика от [дата] № [номер] оставлен без ответа. Эти документы подтверждают или опровергают численность застрахованных, состав и объём фактических расходов, то есть обстоятельства, от которых по формуле Соглашения зависит размер потерь (ч. 4 ст. 66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Ходатайство о назначении экспертизы</w:t>
      </w:r>
    </w:p>
    <w:p>
      <w:pPr>
        <w:spacing w:after="120" w:line="276"/>
        <w:ind w:firstLine="709"/>
        <w:jc w:val="both"/>
      </w:pPr>
      <w:r>
        <w:t xml:space="preserve">Проверка расчёта требует специальных знаний в области бухгалтерского учёта и медико-экономической оценки счетов (ст. 82 АПК РФ). Ответчик предлагает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Какова величина фактических расходов на медицинское обслуживание застрахованных за 2025 год с учётом услуг, входящих в программы ДМС, по данным первичных документов?</w:t>
      </w:r>
    </w:p>
    <w:p>
      <w:pPr>
        <w:spacing w:after="120" w:line="276"/>
        <w:ind w:left="360" w:hanging="360"/>
        <w:jc w:val="both"/>
      </w:pPr>
      <w:r>
        <w:t xml:space="preserve">2. Какова предельная величина расходов за 2025 год, рассчитанная по формуле п. [номер] Соглашения на основании численности застрахованных?</w:t>
      </w:r>
    </w:p>
    <w:p>
      <w:pPr>
        <w:spacing w:after="120" w:line="276"/>
        <w:ind w:left="360" w:hanging="360"/>
        <w:jc w:val="both"/>
      </w:pPr>
      <w:r>
        <w:t xml:space="preserve">3. Превышают ли фактические расходы предельную величину и если да, то на какую сумму?</w:t>
      </w:r>
    </w:p>
    <w:p>
      <w:pPr>
        <w:spacing w:after="120" w:line="276"/>
        <w:ind w:firstLine="709"/>
        <w:jc w:val="both"/>
      </w:pPr>
      <w:r>
        <w:t xml:space="preserve">Проведение экспертизы Ответчик предлагает поручить [наименование экспертной организации, ФИО эксперта]. Денежные средства на оплату экспертизы будут внесены на депозитный счёт суда (ч. 1 ст. 108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406.1 ГК РФ, ст. 65, 66, 82,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у Истца: реестры счетов медицинских организаций за 2025 год с указанием застрахованного, программы ДМС и даты услуги; списки застрахованных с датами включения и исключения по каждому договору страхования; расчёт исковых требований с исходными данными по каждой составляющей формулы п. [номер] Соглашения.</w:t>
      </w:r>
    </w:p>
    <w:p>
      <w:pPr>
        <w:spacing w:after="120" w:line="276"/>
        <w:ind w:left="360" w:hanging="360"/>
        <w:jc w:val="both"/>
      </w:pPr>
      <w:r>
        <w:t xml:space="preserve">2. Назначить по делу комплексную бухгалтерскую и медико-экономическую экспертизу с постановкой вопросов, указанных в разделе 6 отзыва.</w:t>
      </w:r>
    </w:p>
    <w:p>
      <w:pPr>
        <w:spacing w:after="120" w:line="276"/>
        <w:ind w:left="360" w:hanging="360"/>
        <w:jc w:val="both"/>
      </w:pPr>
      <w:r>
        <w:t xml:space="preserve">3. Отказать Истцу в удовлетворении исковых требований в полном объёме.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об организации медицинского обслуживания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Соглашение о возмещении имущественных потерь от [дата].</w:t>
      </w:r>
    </w:p>
    <w:p>
      <w:pPr>
        <w:spacing w:after="120" w:line="276"/>
        <w:ind w:left="360" w:hanging="360"/>
        <w:jc w:val="both"/>
      </w:pPr>
      <w:r>
        <w:t xml:space="preserve">3. Гарантийные письма Истца и возражения Ответчика от [даты].</w:t>
      </w:r>
    </w:p>
    <w:p>
      <w:pPr>
        <w:spacing w:after="120" w:line="276"/>
        <w:ind w:left="360" w:hanging="360"/>
        <w:jc w:val="both"/>
      </w:pPr>
      <w:r>
        <w:t xml:space="preserve">4. Контррасчёт Ответчика за 2025 год.</w:t>
      </w:r>
    </w:p>
    <w:p>
      <w:pPr>
        <w:spacing w:after="120" w:line="276"/>
        <w:ind w:left="360" w:hanging="360"/>
        <w:jc w:val="both"/>
      </w:pPr>
      <w:r>
        <w:t xml:space="preserve">5. Запрос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направление отзыва Истцу.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2026-10-25T19:22:02.717Z</dcterms:created>
  <dcterms:modified xsi:type="dcterms:W3CDTF">2026-10-25T19:22:02.717Z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