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[адрес суда]</w:t>
      </w:r>
    </w:p>
    <w:p>
      <w:pPr>
        <w:spacing w:after="0"/>
        <w:jc w:val="right"/>
      </w:pPr>
      <w:r>
        <w:t xml:space="preserve"/>
      </w:r>
    </w:p>
    <w:p>
      <w:pPr>
        <w:spacing w:after="0"/>
        <w:jc w:val="right"/>
      </w:pPr>
      <w:r>
        <w:t xml:space="preserve">Дело № [номер дела]</w:t>
      </w:r>
    </w:p>
    <w:p>
      <w:pPr>
        <w:spacing w:after="0"/>
        <w:jc w:val="right"/>
      </w:pPr>
      <w:r>
        <w:t xml:space="preserve">Судья [ФИО судьи]</w:t>
      </w:r>
    </w:p>
    <w:p>
      <w:pPr>
        <w:spacing w:after="0"/>
        <w:jc w:val="right"/>
      </w:pPr>
      <w:r>
        <w:t xml:space="preserve"/>
      </w:r>
    </w:p>
    <w:p>
      <w:pPr>
        <w:spacing w:after="0"/>
        <w:jc w:val="right"/>
      </w:pPr>
      <w:r>
        <w:t xml:space="preserve">Истец: индивидуальный предприниматель [ФИО истца],</w:t>
      </w:r>
    </w:p>
    <w:p>
      <w:pPr>
        <w:spacing w:after="0"/>
        <w:jc w:val="right"/>
      </w:pPr>
      <w:r>
        <w:t xml:space="preserve">ОГРНИП [номер], ИНН [номер], адрес: [адрес]</w:t>
      </w:r>
    </w:p>
    <w:p>
      <w:pPr>
        <w:spacing w:after="0"/>
        <w:jc w:val="right"/>
      </w:pPr>
      <w:r>
        <w:t xml:space="preserve"/>
      </w:r>
    </w:p>
    <w:p>
      <w:pPr>
        <w:spacing w:after="0"/>
        <w:jc w:val="right"/>
      </w:pPr>
      <w:r>
        <w:t xml:space="preserve">Ответчик: общество с ограниченной ответственностью «[наименование ответчика]»,</w:t>
      </w:r>
    </w:p>
    <w:p>
      <w:pPr>
        <w:spacing w:after="0"/>
        <w:jc w:val="right"/>
      </w:pPr>
      <w:r>
        <w:t xml:space="preserve">ОГРН [номер], ИНН [номер], адрес: [адрес],</w:t>
      </w:r>
    </w:p>
    <w:p>
      <w:pPr>
        <w:spacing w:after="0"/>
        <w:jc w:val="right"/>
      </w:pPr>
      <w:r>
        <w:t xml:space="preserve">тел.: [телефон], e-mail: [адрес электронной почты]</w:t>
      </w:r>
    </w:p>
    <w:p>
      <w:pPr>
        <w:spacing w:after="0"/>
        <w:jc w:val="right"/>
      </w:pPr>
      <w:r>
        <w:t xml:space="preserve"/>
      </w:r>
    </w:p>
    <w:p>
      <w:pPr>
        <w:spacing w:after="0"/>
        <w:jc w:val="right"/>
      </w:pPr>
      <w:r>
        <w:t xml:space="preserve">Лица, о привлечении которых в качестве третьих лиц заявлено ходатайство:</w:t>
      </w:r>
    </w:p>
    <w:p>
      <w:pPr>
        <w:spacing w:after="0"/>
        <w:jc w:val="right"/>
      </w:pPr>
      <w:r>
        <w:t xml:space="preserve">ООО «[наименование аптечной организации]», [адрес];</w:t>
      </w:r>
    </w:p>
    <w:p>
      <w:pPr>
        <w:spacing w:after="0"/>
        <w:jc w:val="right"/>
      </w:pPr>
      <w:r>
        <w:t xml:space="preserve">[наименование банка], [адрес];</w:t>
      </w:r>
    </w:p>
    <w:p>
      <w:pPr>
        <w:spacing w:after="0"/>
        <w:jc w:val="right"/>
      </w:pPr>
      <w:r>
        <w:t xml:space="preserve">[наименование организации или ИП, кофейня], [адрес];</w:t>
      </w:r>
    </w:p>
    <w:p>
      <w:pPr>
        <w:spacing w:after="0"/>
        <w:jc w:val="right"/>
      </w:pPr>
      <w:r>
        <w:t xml:space="preserve">ООО «[наименование оператора салона связи]», [адрес]</w:t>
      </w:r>
    </w:p>
    <w:p>
      <w:pPr>
        <w:spacing w:after="240" w:before="240"/>
        <w:jc w:val="center"/>
      </w:pPr>
      <w:r>
        <w:rPr>
          <w:b/>
          <w:bCs/>
          <w:sz w:val="32"/>
          <w:szCs w:val="32"/>
        </w:rPr>
        <w:t xml:space="preserve">ОТЗЫВ НА ИСКОВОЕ ЗАЯВЛЕНИЕ</w:t>
      </w:r>
    </w:p>
    <w:p>
      <w:pPr>
        <w:spacing w:after="160" w:before="200"/>
        <w:jc w:val="center"/>
      </w:pPr>
      <w:r>
        <w:rPr>
          <w:b/>
          <w:bCs/>
        </w:rPr>
        <w:t xml:space="preserve">об обязании демонтировать вывески арендаторов и привести фасад здания в первоначальное состояние</w:t>
      </w:r>
    </w:p>
    <w:p>
      <w:pPr>
        <w:spacing w:after="120" w:line="276"/>
        <w:ind w:firstLine="709"/>
        <w:jc w:val="both"/>
      </w:pPr>
      <w:r>
        <w:t xml:space="preserve">Индивидуальный предприниматель [ФИО истца] (далее: Истец) просит обязать ООО «[наименование ответчика]» (далее: Ответчик) демонтировать с фасада нежилого здания торгового центра по адресу: [адрес здания], кадастровый номер [номер] (далее: Здание), четыре информационные вывески арендаторов Ответчика (аптека, отделение банка, кофейня, салон связи) и привести фасад в первоначальное состояние.</w:t>
      </w:r>
    </w:p>
    <w:p>
      <w:pPr>
        <w:spacing w:after="120" w:line="276"/>
        <w:ind w:firstLine="709"/>
        <w:jc w:val="both"/>
      </w:pPr>
      <w:r>
        <w:t xml:space="preserve">Ответчик иск не признает по следующим основаниям.</w:t>
      </w:r>
    </w:p>
    <w:p>
      <w:pPr>
        <w:spacing w:after="120" w:line="276"/>
        <w:ind w:firstLine="709"/>
        <w:jc w:val="both"/>
      </w:pPr>
      <w:r>
        <w:rPr>
          <w:b/>
          <w:bCs/>
        </w:rPr>
        <w:t xml:space="preserve">1. Фасад является общим имуществом, а не частью помещений Истца.</w:t>
      </w:r>
    </w:p>
    <w:p>
      <w:pPr>
        <w:spacing w:after="120" w:line="276"/>
        <w:ind w:firstLine="709"/>
        <w:jc w:val="both"/>
      </w:pPr>
      <w:r>
        <w:t xml:space="preserve">Ответчику принадлежат нежилые помещения первого этажа Здания общей площадью [площадь] кв. м (выписка из ЕГРН от [дата]), Истцу принадлежат нежилые помещения второго этажа площадью [площадь] кв. м. Здание является нежилым и не относится к многоквартирным домам.</w:t>
      </w:r>
    </w:p>
    <w:p>
      <w:pPr>
        <w:spacing w:after="120" w:line="276"/>
        <w:ind w:firstLine="709"/>
        <w:jc w:val="both"/>
      </w:pPr>
      <w:r>
        <w:t xml:space="preserve">Фасад Здания (наружные ограждающие конструкции) относится к общему имуществу собственников помещений, которым принадлежат доли в праве общей собственности на него (п. 1, 2 постановления Пленума ВАС РФ от 23.07.2009 № 64, п. 1 ст. 259.1 ГК РФ). Расположение части фасада над входами в помещения Ответчика и под окнами помещений Истца не дает Истцу права использовать эту часть фасада как свое личное имущество (Определение Судебной коллегии по экономическим спорам Верховного Суда РФ от 07.04.2026 № 305-ЭС25-13294).</w:t>
      </w:r>
    </w:p>
    <w:p>
      <w:pPr>
        <w:spacing w:after="120" w:line="276"/>
        <w:ind w:firstLine="709"/>
        <w:jc w:val="both"/>
      </w:pPr>
      <w:r>
        <w:rPr>
          <w:b/>
          <w:bCs/>
        </w:rPr>
        <w:t xml:space="preserve">2. Порядок пользования фасадом сложился по соглашению сторон и соблюдался более восьми лет.</w:t>
      </w:r>
    </w:p>
    <w:p>
      <w:pPr>
        <w:spacing w:after="120" w:line="276"/>
        <w:ind w:firstLine="709"/>
        <w:jc w:val="both"/>
      </w:pPr>
      <w:r>
        <w:t xml:space="preserve">Владение и пользование имуществом, находящимся в долевой собственности, осуществляются по соглашению всех ее участников (п. 1 ст. 247 ГК РФ). Такое соглашение между сторонами достигнуто и исполнялось:</w:t>
      </w:r>
    </w:p>
    <w:p>
      <w:pPr>
        <w:spacing w:after="120" w:line="276"/>
        <w:ind w:left="360" w:hanging="360"/>
        <w:jc w:val="both"/>
      </w:pPr>
      <w:r>
        <w:t xml:space="preserve">1. Письмом от [дата] № [номер] Истец согласовал размещение вывесок арендаторов Ответчика на фризе между первым и вторым этажами над входными группами помещений Ответчика по прилагаемой схеме.</w:t>
      </w:r>
    </w:p>
    <w:p>
      <w:pPr>
        <w:spacing w:after="120" w:line="276"/>
        <w:ind w:left="360" w:hanging="360"/>
        <w:jc w:val="both"/>
      </w:pPr>
      <w:r>
        <w:t xml:space="preserve">2. Дизайн-проект размещения вывесок согласован [наименование уполномоченного органа] [дата] № [номер] в соответствии с [наименование регионального или муниципального акта о размещении вывесок].</w:t>
      </w:r>
    </w:p>
    <w:p>
      <w:pPr>
        <w:spacing w:after="120" w:line="276"/>
        <w:ind w:left="360" w:hanging="360"/>
        <w:jc w:val="both"/>
      </w:pPr>
      <w:r>
        <w:t xml:space="preserve">3. Вывески размещены в [месяц, год] и с тех пор не менялись по местоположению и размерам, что подтверждается фотоматериалами за [годы].</w:t>
      </w:r>
    </w:p>
    <w:p>
      <w:pPr>
        <w:spacing w:after="120" w:line="276"/>
        <w:ind w:left="360" w:hanging="360"/>
        <w:jc w:val="both"/>
      </w:pPr>
      <w:r>
        <w:t xml:space="preserve">4. До письма от [дата] Истец ни разу не заявлял возражений, а в письме от [дата] № [номер] сам предложил [содержание, например: согласовать единый цвет конструкций].</w:t>
      </w:r>
    </w:p>
    <w:p>
      <w:pPr>
        <w:spacing w:after="120" w:line="276"/>
        <w:ind w:firstLine="709"/>
        <w:jc w:val="both"/>
      </w:pPr>
      <w:r>
        <w:t xml:space="preserve">Таким образом, все собственники, включая Истца, длительно реализовывали этот порядок и подтверждали его своим поведением.</w:t>
      </w:r>
    </w:p>
    <w:p>
      <w:pPr>
        <w:spacing w:after="120" w:line="276"/>
        <w:ind w:firstLine="709"/>
        <w:jc w:val="both"/>
      </w:pPr>
      <w:r>
        <w:rPr>
          <w:b/>
          <w:bCs/>
        </w:rPr>
        <w:t xml:space="preserve">3. Последующее несогласие Истца не является основанием для демонтажа.</w:t>
      </w:r>
    </w:p>
    <w:p>
      <w:pPr>
        <w:spacing w:after="120" w:line="276"/>
        <w:ind w:firstLine="709"/>
        <w:jc w:val="both"/>
      </w:pPr>
      <w:r>
        <w:t xml:space="preserve">Письмом от [дата] Истец сообщил об отказе от ранее достигнутой договоренности и потребовал демонтировать вывески. Однако по позиции, изложенной в п. 11 Обзора судебной практики Верховного Суда РФ № 3 (2026) (утв. Президиумом Верховного Суда РФ 14.10.2026), несогласие одного из сособственников с порядком использования общего имущества в нежилом здании, который сложился и длительное время соблюдался, не является безусловным основанием для изменения этого порядка судом. Такое несогласие оценивается с учетом поведения сособственника в предшествующий период и правомерных ожиданий иных участников, которые, полагаясь на длительное отсутствие возражений, организовали реализацию своих прав определенным образом.</w:t>
      </w:r>
    </w:p>
    <w:p>
      <w:pPr>
        <w:spacing w:after="120" w:line="276"/>
        <w:ind w:firstLine="709"/>
        <w:jc w:val="both"/>
      </w:pPr>
      <w:r>
        <w:t xml:space="preserve">Ответчик, полагаясь на согласие Истца, заключил договоры аренды с условием о размещении вывесок, а арендаторы понесли расходы на изготовление и монтаж конструкций. Участники гражданских правоотношений должны действовать добросовестно, и никто не вправе извлекать преимущество из своего недобросовестного поведения (п. 3, 4 ст. 1 ГК РФ).</w:t>
      </w:r>
    </w:p>
    <w:p>
      <w:pPr>
        <w:spacing w:after="120" w:line="276"/>
        <w:ind w:firstLine="709"/>
        <w:jc w:val="both"/>
      </w:pPr>
      <w:r>
        <w:rPr>
          <w:b/>
          <w:bCs/>
        </w:rPr>
        <w:t xml:space="preserve">4. Суд учитывает нуждаемость и возможность совместного пользования, а не только доли.</w:t>
      </w:r>
    </w:p>
    <w:p>
      <w:pPr>
        <w:spacing w:after="120" w:line="276"/>
        <w:ind w:firstLine="709"/>
        <w:jc w:val="both"/>
      </w:pPr>
      <w:r>
        <w:t xml:space="preserve">При разрешении спора о порядке пользования суд учитывает фактически сложившийся порядок, нуждаемость каждого из сособственников и реальную возможность совместного пользования, при этом порядок может точно не соответствовать долям (Определение Верховного Суда РФ от 07.04.2026 № 305-ЭС25-13294).</w:t>
      </w:r>
    </w:p>
    <w:p>
      <w:pPr>
        <w:spacing w:after="120" w:line="276"/>
        <w:ind w:firstLine="709"/>
        <w:jc w:val="both"/>
      </w:pPr>
      <w:r>
        <w:t xml:space="preserve">Вывески обозначают входы в помещения Ответчика, расположенные только на первом этаже, и не могут быть перенесены без утраты этой функции. Истец не доказал, что для размещения его собственной вывески необходима именно занятая часть фасада: свободными остаются [описание участков фасада, например: фриз над входом Истца и боковой фасад со стороны ул. [наименование]] (схема фасада прилагается).</w:t>
      </w:r>
    </w:p>
    <w:p>
      <w:pPr>
        <w:spacing w:after="120" w:line="276"/>
        <w:ind w:firstLine="709"/>
        <w:jc w:val="both"/>
      </w:pPr>
      <w:r>
        <w:rPr>
          <w:b/>
          <w:bCs/>
        </w:rPr>
        <w:t xml:space="preserve">5. Конструкции являются информационными вывесками, а не рекламой.</w:t>
      </w:r>
    </w:p>
    <w:p>
      <w:pPr>
        <w:spacing w:after="120" w:line="276"/>
        <w:ind w:firstLine="709"/>
        <w:jc w:val="both"/>
      </w:pPr>
      <w:r>
        <w:t xml:space="preserve">Вывески содержат только наименования организаций, режим работы и профиль деятельности, которые продавец (исполнитель) обязан разместить на вывеске в силу п. 1 ст. 9 Закона РФ от 07.02.1992 № 2300-1 «О защите прав потребителей». Федеральный закон от 13.03.2006 № 38-ФЗ «О рекламе» на вывески и указатели, не содержащие сведений рекламного характера, не распространяется (п. 5 ч. 2 ст. 2). Собственник помещения вправе передать арендатору возможность разместить такую вывеску в рамках своего права пользования общим имуществом (ст. 615 ГК РФ; позиция Конституционного Суда РФ, изложенная в Определении от 12.03.2024 № 554-О и приведенная в Определении Верховного Суда РФ от 31.05.2024 № 302-ЭС22-17603).</w:t>
      </w:r>
    </w:p>
    <w:p>
      <w:pPr>
        <w:spacing w:after="120" w:line="276"/>
        <w:ind w:firstLine="709"/>
        <w:jc w:val="both"/>
      </w:pPr>
      <w:r>
        <w:rPr>
          <w:b/>
          <w:bCs/>
        </w:rPr>
        <w:t xml:space="preserve">6. Истец не доказал нарушения своего права.</w:t>
      </w:r>
    </w:p>
    <w:p>
      <w:pPr>
        <w:spacing w:after="120" w:line="276"/>
        <w:ind w:firstLine="709"/>
        <w:jc w:val="both"/>
      </w:pPr>
      <w:r>
        <w:t xml:space="preserve">Требование о демонтаже основано на ст. 304 ГК РФ и может быть удовлетворено, только если Истец докажет нарушение его права или реальную угрозу такого нарушения (ч. 1 ст. 65 АПК РФ). Истец не представил доказательств того, что вывески препятствуют ему пользоваться помещениями или общим имуществом, закрывают окна или повреждают конструкции. Если Истец полагает, что сложившийся порядок требует изменения, надлежащим способом защиты является определение порядка пользования по п. 1 ст. 247 ГК РФ, а не демонтаж конструкций, размещенных с его согласия.</w:t>
      </w:r>
    </w:p>
    <w:p>
      <w:pPr>
        <w:spacing w:after="120" w:line="276"/>
        <w:ind w:firstLine="709"/>
        <w:jc w:val="both"/>
      </w:pPr>
      <w:r>
        <w:rPr>
          <w:b/>
          <w:bCs/>
        </w:rPr>
        <w:t xml:space="preserve">7. Решение по делу повлияет на права арендаторов Ответчика.</w:t>
      </w:r>
    </w:p>
    <w:p>
      <w:pPr>
        <w:spacing w:after="120" w:line="276"/>
        <w:ind w:firstLine="709"/>
        <w:jc w:val="both"/>
      </w:pPr>
      <w:r>
        <w:t xml:space="preserve">Вывески принадлежат арендаторам и размещены ими по договорам аренды (перечень в приложении). Удовлетворение иска повлечет демонтаж их имущества и может повлиять на их права и обязанности по отношению к Ответчику, поэтому арендаторы подлежат привлечению к участию в деле в качестве третьих лиц, не заявляющих самостоятельных требований относительно предмета спора (ч. 1 ст. 51 АПК РФ).</w:t>
      </w:r>
    </w:p>
    <w:p>
      <w:pPr>
        <w:spacing w:after="120" w:line="276"/>
        <w:ind w:firstLine="709"/>
        <w:jc w:val="both"/>
      </w:pPr>
      <w:r>
        <w:t xml:space="preserve">На основании изложенного, руководствуясь ст. 51, 65, 131 АПК РФ, ст. 1, 247, 304 ГК РФ,</w:t>
      </w:r>
    </w:p>
    <w:p>
      <w:pPr>
        <w:spacing w:after="120" w:line="276"/>
        <w:ind w:firstLine="709"/>
        <w:jc w:val="both"/>
      </w:pPr>
      <w:r>
        <w:rPr>
          <w:b/>
          <w:bCs/>
        </w:rPr>
        <w:t xml:space="preserve">ПРОШУ:</w:t>
      </w:r>
    </w:p>
    <w:p>
      <w:pPr>
        <w:spacing w:after="120" w:line="276"/>
        <w:ind w:left="360" w:hanging="360"/>
        <w:jc w:val="both"/>
      </w:pPr>
      <w:r>
        <w:t xml:space="preserve">1. Привлечь к участию в деле в качестве третьих лиц, не заявляющих самостоятельных требований относительно предмета спора, на стороне Ответчика: ООО «[наименование аптечной организации]», [наименование банка], [наименование организации или ИП, кофейня], ООО «[наименование оператора салона связи]».</w:t>
      </w:r>
    </w:p>
    <w:p>
      <w:pPr>
        <w:spacing w:after="120" w:line="276"/>
        <w:ind w:left="360" w:hanging="360"/>
        <w:jc w:val="both"/>
      </w:pPr>
      <w:r>
        <w:t xml:space="preserve">2. В удовлетворении исковых требований индивидуального предпринимателя [ФИО истца] отказать полностью.</w:t>
      </w:r>
    </w:p>
    <w:p>
      <w:pPr>
        <w:spacing w:after="120" w:line="276"/>
        <w:ind w:firstLine="709"/>
        <w:jc w:val="both"/>
      </w:pPr>
      <w:r>
        <w:rPr>
          <w:b/>
          <w:bCs/>
        </w:rPr>
        <w:t xml:space="preserve">Приложения:</w:t>
      </w:r>
    </w:p>
    <w:p>
      <w:pPr>
        <w:spacing w:after="120" w:line="276"/>
        <w:ind w:left="360" w:hanging="360"/>
        <w:jc w:val="both"/>
      </w:pPr>
      <w:r>
        <w:t xml:space="preserve">1. Доказательства направления отзыва Истцу и лицам, о привлечении которых заявлено ходатайство.</w:t>
      </w:r>
    </w:p>
    <w:p>
      <w:pPr>
        <w:spacing w:after="120" w:line="276"/>
        <w:ind w:left="360" w:hanging="360"/>
        <w:jc w:val="both"/>
      </w:pPr>
      <w:r>
        <w:t xml:space="preserve">2. Выписки из ЕГРН на помещения Ответчика и Истца, на Здание.</w:t>
      </w:r>
    </w:p>
    <w:p>
      <w:pPr>
        <w:spacing w:after="120" w:line="276"/>
        <w:ind w:left="360" w:hanging="360"/>
        <w:jc w:val="both"/>
      </w:pPr>
      <w:r>
        <w:t xml:space="preserve">3. Письма Истца от [дата] № [номер] и от [дата] № [номер].</w:t>
      </w:r>
    </w:p>
    <w:p>
      <w:pPr>
        <w:spacing w:after="120" w:line="276"/>
        <w:ind w:left="360" w:hanging="360"/>
        <w:jc w:val="both"/>
      </w:pPr>
      <w:r>
        <w:t xml:space="preserve">4. Дизайн-проект размещения вывесок и документ о его согласовании от [дата] № [номер].</w:t>
      </w:r>
    </w:p>
    <w:p>
      <w:pPr>
        <w:spacing w:after="120" w:line="276"/>
        <w:ind w:left="360" w:hanging="360"/>
        <w:jc w:val="both"/>
      </w:pPr>
      <w:r>
        <w:t xml:space="preserve">5. Договоры аренды с арендаторами (выписки в части условия о вывесках).</w:t>
      </w:r>
    </w:p>
    <w:p>
      <w:pPr>
        <w:spacing w:after="120" w:line="276"/>
        <w:ind w:left="360" w:hanging="360"/>
        <w:jc w:val="both"/>
      </w:pPr>
      <w:r>
        <w:t xml:space="preserve">6. Фотоматериалы фасада за [годы] и схема фасада с обозначением конструкций и свободных участков.</w:t>
      </w:r>
    </w:p>
    <w:p>
      <w:pPr>
        <w:spacing w:after="120" w:line="276"/>
        <w:ind w:left="360" w:hanging="360"/>
        <w:jc w:val="both"/>
      </w:pPr>
      <w:r>
        <w:t xml:space="preserve">7. Переписка сторон за [период].</w:t>
      </w:r>
    </w:p>
    <w:p>
      <w:pPr>
        <w:spacing w:after="120" w:line="276"/>
        <w:ind w:left="360" w:hanging="360"/>
        <w:jc w:val="both"/>
      </w:pPr>
      <w:r>
        <w:t xml:space="preserve">8. Доверенность представителя от [дата] № [номер].</w:t>
      </w:r>
    </w:p>
    <w:p>
      <w:pPr>
        <w:spacing w:after="120" w:line="276"/>
        <w:ind w:firstLine="709"/>
        <w:jc w:val="both"/>
      </w:pPr>
      <w:r>
        <w:t xml:space="preserve">[дата]</w:t>
      </w:r>
    </w:p>
    <w:p>
      <w:pPr>
        <w:spacing w:after="120" w:line="276"/>
        <w:ind w:firstLine="709"/>
        <w:jc w:val="both"/>
      </w:pPr>
      <w:r>
        <w:t xml:space="preserve">Представитель ООО «[наименование ответчика]» по доверенности</w:t>
      </w:r>
    </w:p>
    <w:p>
      <w:pPr>
        <w:spacing w:after="120" w:line="276"/>
        <w:ind w:firstLine="709"/>
        <w:jc w:val="both"/>
      </w:pPr>
      <w:r>
        <w:t xml:space="preserve">[подпись] / [ФИО представителя]</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2026-10-25T19:24:18.786Z</dcterms:created>
  <dcterms:modified xsi:type="dcterms:W3CDTF">2026-10-25T19:24:18.786Z</dcterms:modified>
</cp:coreProperties>
</file>

<file path=docProps/custom.xml><?xml version="1.0" encoding="utf-8"?>
<Properties xmlns="http://schemas.openxmlformats.org/officeDocument/2006/custom-properties" xmlns:vt="http://schemas.openxmlformats.org/officeDocument/2006/docPropsVTypes"/>
</file>