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Государственное казённое учреждение [наименование субъекта РФ] «[Дирекция капитального строительства]»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Контрольно-счётная палата [наименование субъекта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8 300 000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взыскании неосновательного обогащения по государственному контракту</w:t>
      </w:r>
    </w:p>
    <w:p>
      <w:pPr>
        <w:spacing w:after="120" w:line="276"/>
        <w:ind w:firstLine="709"/>
        <w:jc w:val="both"/>
      </w:pPr>
      <w:r>
        <w:t xml:space="preserve">Истец просит взыскать с ответчика 8 300 000 руб. как неосновательное обогащение, полученное по государственному контракту от [дата] № [номер] на выполнение работ по капитальному ремонту здания [наименование общеобразовательной организации] (далее: Контракт). Основанием иска истец называет акт выездной проверки Контрольно-счётной палаты [наименование субъекта РФ] от [дата] № [номер] (далее: Акт проверки) и представление от [дата] № [номер].</w:t>
      </w:r>
    </w:p>
    <w:p>
      <w:pPr>
        <w:spacing w:after="120" w:line="276"/>
        <w:ind w:firstLine="709"/>
        <w:jc w:val="both"/>
      </w:pPr>
      <w:r>
        <w:t xml:space="preserve">Ответчик с иском не согласен полностью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исполнения Контракта</w:t>
      </w:r>
    </w:p>
    <w:p>
      <w:pPr>
        <w:spacing w:after="120" w:line="276"/>
        <w:ind w:left="360" w:hanging="360"/>
        <w:jc w:val="both"/>
      </w:pPr>
      <w:r>
        <w:t xml:space="preserve">1. Контракт заключён по результатам электронного аукциона (извещение № [номер]) в порядке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(далее: Закон № 44-ФЗ). Начальную (максимальную) цену контракта и сметную документацию сформировал и утвердил истец до проведения аукциона. Цена Контракта, предложенная ответчиком на аукционе, составила [сумма] руб. и в силу п. [номер] Контракта и ч. 2 ст. 34 Закона № 44-ФЗ является твёрдой.</w:t>
      </w:r>
    </w:p>
    <w:p>
      <w:pPr>
        <w:spacing w:after="120" w:line="276"/>
        <w:ind w:left="360" w:hanging="360"/>
        <w:jc w:val="both"/>
      </w:pPr>
      <w:r>
        <w:t xml:space="preserve">2. Работы выполнены в полном объёме и приняты истцом по актам о приёмке выполненных работ (форма КС-2) и справкам (форма КС-3) от [дата], [дата], [дата] без замечаний по объёму, качеству и стоимости. До подписания актов истец провёл экспертизу результата работ (ч. 3 ст. 94 Закона № 44-ФЗ), заключение от [дата] № [номер].</w:t>
      </w:r>
    </w:p>
    <w:p>
      <w:pPr>
        <w:spacing w:after="120" w:line="276"/>
        <w:ind w:left="360" w:hanging="360"/>
        <w:jc w:val="both"/>
      </w:pPr>
      <w:r>
        <w:t xml:space="preserve">3. Истец оплатил работы платёжными поручениями от [дата] № [номер] на [сумма] руб., от [дата] № [номер] на [сумма] руб., от [дата] № [номер] на [сумма] руб.</w:t>
      </w:r>
    </w:p>
    <w:p>
      <w:pPr>
        <w:spacing w:after="120" w:line="276"/>
        <w:ind w:left="360" w:hanging="360"/>
        <w:jc w:val="both"/>
      </w:pPr>
      <w:r>
        <w:t xml:space="preserve">4. Проверка Контрольно-счётной палаты проводилась в отношении истца в период с [дата] по [дата]. Ответчик к проверке не привлекался, о ней не уведомлялся, Акт проверки ему не направлялся. Контракт не содержит условия о праве контрольных органов проверять исполнение обязательств ответчиком и об обязанности ответчика возвращать суммы по результатам таких проверок.</w:t>
      </w:r>
    </w:p>
    <w:p>
      <w:pPr>
        <w:spacing w:after="160" w:before="200"/>
        <w:jc w:val="center"/>
      </w:pPr>
      <w:r>
        <w:rPr>
          <w:b/>
          <w:bCs/>
        </w:rPr>
        <w:t xml:space="preserve">2. Нарушения, указанные в Акте проверки, допущены истцом и не создают обязательства ответчика</w:t>
      </w:r>
    </w:p>
    <w:p>
      <w:pPr>
        <w:spacing w:after="120" w:line="276"/>
        <w:ind w:left="360" w:hanging="360"/>
        <w:jc w:val="both"/>
      </w:pPr>
      <w:r>
        <w:t xml:space="preserve">5. Согласно Акту проверки Контрольно-счётная палата установила: (а) оплату работ по Контракту по коду бюджетной классификации [код] вместо [код]; (б) применение в сметной документации, утверждённой истцом до проведения аукциона, индекса изменения сметной стоимости [наименование индекса] вместо [наименование индекса], что, по мнению проверяющих, привело к завышению стоимости на [сумма] руб.</w:t>
      </w:r>
    </w:p>
    <w:p>
      <w:pPr>
        <w:spacing w:after="120" w:line="276"/>
        <w:ind w:left="360" w:hanging="360"/>
        <w:jc w:val="both"/>
      </w:pPr>
      <w:r>
        <w:t xml:space="preserve">6. Оба нарушения относятся к бюджетным правоотношениям истца как получателя бюджетных средств и к формированию им начальной (максимальной) цены контракта. Представление внесено истцу как проверяемой организации (ч. 1 ст. 16 Федерального закона от 07.02.2011 № 6-ФЗ «Об общих принципах организации и деятельности контрольно-счётных органов…»), а не ответчику.</w:t>
      </w:r>
    </w:p>
    <w:p>
      <w:pPr>
        <w:spacing w:after="120" w:line="276"/>
        <w:ind w:left="360" w:hanging="360"/>
        <w:jc w:val="both"/>
      </w:pPr>
      <w:r>
        <w:t xml:space="preserve">7. По п. 1 ст. 1102 ГК РФ неосновательным обогащением является имущество, приобретённое без установленных законом, иными правовыми актами или сделкой оснований. Денежные средства получены ответчиком на основании Контракта за выполненные и принятые работы. Фактическая оплата работ, выполненных по договору подряда, исключает квалификацию полученных средств как неосновательного обогащения (Определение Верховного Суда РФ от 30.07.2015 № 305-ЭС15-3990).</w:t>
      </w:r>
    </w:p>
    <w:p>
      <w:pPr>
        <w:spacing w:after="120" w:line="276"/>
        <w:ind w:left="360" w:hanging="360"/>
        <w:jc w:val="both"/>
      </w:pPr>
      <w:r>
        <w:t xml:space="preserve">8. Положения ГК РФ и Закона № 44-ФЗ не предусматривают, что денежные средства, полученные исполнителем за должным образом исполненный контракт, но перечисленные с нарушением законодательства по вине заказчика, подлежат возврату исполнителем. Эта позиция изложена в п. 22 Обзора судебной практики Верховного Суда РФ № 1 (2026), утверждённого Президиумом Верховного Суда РФ 25.03.2026, и в определениях Судебной коллегии по экономическим спорам Верховного Суда РФ от 19.08.2025 № 305-ЭС24-24183 и от 22.12.2025 № 305-ЭС25-7011.</w:t>
      </w:r>
    </w:p>
    <w:p>
      <w:pPr>
        <w:spacing w:after="120" w:line="276"/>
        <w:ind w:left="360" w:hanging="360"/>
        <w:jc w:val="both"/>
      </w:pPr>
      <w:r>
        <w:t xml:space="preserve">9. Ссылка истца на индекс в смете не меняет оценки. Смету и начальную цену утвердил истец, ответчик лишь предложил цену на аукционе. Заказчик не вправе требовать уменьшения твёрдой цены (п. 6 ст. 709 ГК РФ), а изменение существенных условий контракта при его исполнении не допускается, кроме случаев, предусмотренных Законом № 44-ФЗ (ч. 2 ст. 34 Закона № 44-ФЗ). Требование о «возврате» части цены по существу направлено на её одностороннее уменьшение после исполнения Контракта.</w:t>
      </w:r>
    </w:p>
    <w:p>
      <w:pPr>
        <w:spacing w:after="120" w:line="276"/>
        <w:ind w:left="360" w:hanging="360"/>
        <w:jc w:val="both"/>
      </w:pPr>
      <w:r>
        <w:t xml:space="preserve">10. Акт проверки не имеет для ответчика преюдициального значения (ч. 2 ст. 69 АПК РФ): это документ, составленный без участия ответчика в отношениях между истцом и контрольным органом, который подлежит оценке наряду с другими доказательствами (ст. 71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3. Довод о завышении объёмов работ не подтверждён</w:t>
      </w:r>
    </w:p>
    <w:p>
      <w:pPr>
        <w:spacing w:after="120" w:line="276"/>
        <w:ind w:left="360" w:hanging="360"/>
        <w:jc w:val="both"/>
      </w:pPr>
      <w:r>
        <w:t xml:space="preserve">11. В исковом заявлении истец дополнительно утверждает, что объёмы работ по [вид работ, например устройству кровли и замене оконных блоков] завышены на [объём] и [сумма] руб. Акт проверки этих выводов не содержит либо основан на выборочном визуальном осмотре без вскрытия конструкций.</w:t>
      </w:r>
    </w:p>
    <w:p>
      <w:pPr>
        <w:spacing w:after="120" w:line="276"/>
        <w:ind w:left="360" w:hanging="360"/>
        <w:jc w:val="both"/>
      </w:pPr>
      <w:r>
        <w:t xml:space="preserve">12. Выполнение работ в объёме, указанном в КС-2, подтверждается исполнительной документацией: общим журналом работ, актами освидетельствования скрытых работ от [дата] № [номер]–[номер], подписанными представителем истца, исполнительными схемами, документами о качестве материалов и товарными накладными на их поставку.</w:t>
      </w:r>
    </w:p>
    <w:p>
      <w:pPr>
        <w:spacing w:after="120" w:line="276"/>
        <w:ind w:left="360" w:hanging="360"/>
        <w:jc w:val="both"/>
      </w:pPr>
      <w:r>
        <w:t xml:space="preserve">13. Наличие подписанного акта приёмки не лишает заказчика права возражать по объёму и стоимости работ (п. 12 Информационного письма Президиума ВАС РФ от 24.01.2000 № 51), однако бремя доказывания этих возражений лежит на истце (ч. 1 ст. 65 АПК РФ). Скрытые работы освидетельствованы истцом до их закрытия, а явные расхождения истец мог установить при обычном способе приёмки (п. 3 ст. 720 ГК РФ).</w:t>
      </w:r>
    </w:p>
    <w:p>
      <w:pPr>
        <w:spacing w:after="120" w:line="276"/>
        <w:ind w:left="360" w:hanging="360"/>
        <w:jc w:val="both"/>
      </w:pPr>
      <w:r>
        <w:t xml:space="preserve">14. При сохранении у суда сомнений ответчик готов заявить ходатайство о назначении судебной строительно-технической экспертизы (ст. 82 АПК РФ) по вопросу об объёме и стоимости фактически выполненных работ.</w:t>
      </w:r>
    </w:p>
    <w:p>
      <w:pPr>
        <w:spacing w:after="160" w:before="200"/>
        <w:jc w:val="center"/>
      </w:pPr>
      <w:r>
        <w:rPr>
          <w:b/>
          <w:bCs/>
        </w:rPr>
        <w:t xml:space="preserve">4. Пропуск срока исковой давности по части требований</w:t>
      </w:r>
    </w:p>
    <w:p>
      <w:pPr>
        <w:spacing w:after="120" w:line="276"/>
        <w:ind w:left="360" w:hanging="360"/>
        <w:jc w:val="both"/>
      </w:pPr>
      <w:r>
        <w:t xml:space="preserve">15. Срок исковой давности составляет три года (п. 1 ст. 196 ГК РФ) и начинается со дня, когда лицо узнало или должно было узнать о нарушении своего права (п. 1 ст. 200 ГК РФ). Код бюджетной классификации истец определял сам при каждом платеже, а смету утвердил до заключения Контракта. О предполагаемом нарушении истец должен был узнать не позднее дня каждого платежа, а по доводу о завышении объёмов, при приёмке работ, но не с даты Акта проверки.</w:t>
      </w:r>
    </w:p>
    <w:p>
      <w:pPr>
        <w:spacing w:after="120" w:line="276"/>
        <w:ind w:left="360" w:hanging="360"/>
        <w:jc w:val="both"/>
      </w:pPr>
      <w:r>
        <w:t xml:space="preserve">16. Исковое заявление подано [дата]. Срок исковой давности истёк по требованиям в части платежей от [дата] № [номер] и от [дата] № [номер] на общую сумму [сумма] руб. Ответчик заявляет о применении исковой давности к этой части требований; её истечение является самостоятельным основанием для отказа в иске (п. 2 ст. 199 ГК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1102, 196, 199, 200, 709 ГК РФ, ч. 2 ст. 34 Закона № 44-ФЗ, ст. 65, 69, 71,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Государственного казённого учреждения [наименование субъекта РФ] «[Дирекция капитального строительства]» к ООО «[наименование]» о взыскании 8 300 000 руб.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Применить исковую давность к требованиям в части платежей, произведённых до [дата], на сумму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государственного контракта от [дата] № [номер] с приложениями (техническое задание, смета).</w:t>
      </w:r>
    </w:p>
    <w:p>
      <w:pPr>
        <w:spacing w:after="120" w:line="276"/>
        <w:ind w:left="360" w:hanging="360"/>
        <w:jc w:val="both"/>
      </w:pPr>
      <w:r>
        <w:t xml:space="preserve">2. Копии актов КС-2 и справок КС-3 от [дата].</w:t>
      </w:r>
    </w:p>
    <w:p>
      <w:pPr>
        <w:spacing w:after="120" w:line="276"/>
        <w:ind w:left="360" w:hanging="360"/>
        <w:jc w:val="both"/>
      </w:pPr>
      <w:r>
        <w:t xml:space="preserve">3. Копия заключения экспертизы результата работ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Копии платёжных поручений.</w:t>
      </w:r>
    </w:p>
    <w:p>
      <w:pPr>
        <w:spacing w:after="120" w:line="276"/>
        <w:ind w:left="360" w:hanging="360"/>
        <w:jc w:val="both"/>
      </w:pPr>
      <w:r>
        <w:t xml:space="preserve">5. Копии общего журнала работ, актов освидетельствования скрытых работ, исполнительных схем.</w:t>
      </w:r>
    </w:p>
    <w:p>
      <w:pPr>
        <w:spacing w:after="120" w:line="276"/>
        <w:ind w:left="360" w:hanging="360"/>
        <w:jc w:val="both"/>
      </w:pPr>
      <w:r>
        <w:t xml:space="preserve">6. Копии документов о качестве и поставке материалов.</w:t>
      </w:r>
    </w:p>
    <w:p>
      <w:pPr>
        <w:spacing w:after="120" w:line="276"/>
        <w:ind w:left="360" w:hanging="360"/>
        <w:jc w:val="both"/>
      </w:pPr>
      <w:r>
        <w:t xml:space="preserve">7. Расчёт срока исковой давности по каждому платежу.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отзыва истцу и третьему лицу.</w:t>
      </w:r>
    </w:p>
    <w:p>
      <w:pPr>
        <w:spacing w:after="120" w:line="276"/>
        <w:ind w:left="360" w:hanging="360"/>
        <w:jc w:val="both"/>
      </w:pPr>
      <w:r>
        <w:t xml:space="preserve">9. Копия доверенности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2026-10-25T19:26:07.814Z</dcterms:created>
  <dcterms:modified xsi:type="dcterms:W3CDTF">2026-10-25T19:26:07.814Z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