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истца]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 изготовителя]»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[адрес], e-mail: [e-mail]</w:t>
      </w:r>
    </w:p>
    <w:p>
      <w:pPr>
        <w:spacing w:after="0"/>
        <w:jc w:val="right"/>
      </w:pPr>
      <w:r>
        <w:t xml:space="preserve">представитель: [ФИО], доверенность от [дата]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назначении судебной автотовароведческой экспертизы для определения цены соответствующего товара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[ФИО истца] (далее: Истец) к ООО «[наименование изготовителя]» (далее: Ответчик) о защите прав потребителя. Истец отказался от исполнения договора купли-продажи автомобиля [марка, модель], [год выпуска: 2021] года выпуска, VIN [VIN] (далее: Автомобиль), приобретённого [дата] за [цена по договору] руб., и с учётом уточнения от [дата] просит взыскать уплаченную сумму, а также [2 400 000] руб. разницы в цене по п. 4 ст. 24 Закона РФ от 07.02.1992 № 2300-1 «О защите прав потребителей» (далее: Закон о защите прав потребителей), неустойку, штраф и компенсацию морального вреда.</w:t>
      </w:r>
    </w:p>
    <w:p>
      <w:pPr>
        <w:spacing w:after="120" w:line="276"/>
        <w:ind w:firstLine="709"/>
        <w:jc w:val="both"/>
      </w:pPr>
      <w:r>
        <w:t xml:space="preserve">Размер разницы Истец рассчитал как разность между ценой по договору и ценой нового автомобиля [марка и модель аналога истца] другого производителя по объявлению [источник, дата]. Ответчик с таким расчётом не согласен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Расчёт Истца построен на товаре, который не является соответствующим.</w:t>
      </w:r>
    </w:p>
    <w:p>
      <w:pPr>
        <w:spacing w:after="120" w:line="276"/>
        <w:ind w:firstLine="709"/>
        <w:jc w:val="both"/>
      </w:pPr>
      <w:r>
        <w:t xml:space="preserve">Производство модели [марка, модель] прекращено Ответчиком в [месяц, год] (письмо [реквизиты]). Предложенный Истцом автомобиль выпускается другим производителем, относится к иной ценовой категории (цена по договору Истца [сумма] руб. против [сумма] руб. у аналога на дату покупки) и к иной категории по техническому регламенту Таможенного союза ТР ТС 018/2011 «О безопасности колёсных транспортных средств», утверждённому решением Комиссии Таможенного союза от 09.12.2011 № 877: Автомобиль [категория по ОТТС], аналог Истца [категория по ОТТС].</w:t>
      </w:r>
    </w:p>
    <w:p>
      <w:pPr>
        <w:spacing w:after="120" w:line="276"/>
        <w:ind w:firstLine="709"/>
        <w:jc w:val="both"/>
      </w:pPr>
      <w:r>
        <w:t xml:space="preserve">Судебная коллегия по гражданским делам Верховного Суда РФ в Определении от 05.05.2026 № 32-КГ26-10-К1 (п. 4 Обзора судебной практики Верховного Суда РФ № 3 (2026), утв. Президиумом 14.10.2026) указала, что понятия «аналогичный» и «соответствующий» товар в ст. 24 Закона о защите прав потребителей понимаются одинаково; для признания товаров аналогичными недостаточно схожести технических характеристик, учитываются функциональное назначение, применение, качественные характеристики и производитель; приоритет отдаётся товару того же производителя. Стоимость автомобиля той же марки, модели и года выпуска при отсутствии его в продаже может быть установлена экспертизой. Доводы изготовителя об иной ценовой категории и иной категории по ТР ТС 018/2011 подлежат обязательной проверке.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Разница для технически сложного товара определяется с учётом года выпуска и износа.</w:t>
      </w:r>
    </w:p>
    <w:p>
      <w:pPr>
        <w:spacing w:after="120" w:line="276"/>
        <w:ind w:firstLine="709"/>
        <w:jc w:val="both"/>
      </w:pPr>
      <w:r>
        <w:t xml:space="preserve">Абзацем вторым п. 4 ст. 24 Закона о защите прав потребителей (введён Федеральным законом от 28.12.2025 № 500-ФЗ, действует с 01.02.2026) установлено, что при возврате технически сложного товара ненадлежащего качества потребитель вправе требовать разницы между ценой по договору и ценой аналогичного по техническим и эксплуатационным характеристикам, обладающего такой же степенью износа и того же года выпуска соответствующего товара на момент вынесения судом решения. Обстоятельств умышленного введения Истца в заблуждение относительно характеристик, износа и года выпуска Автомобиля, исключающих применение этого правила, не имеется. Поскольку решение по делу будет вынесено после 01.02.2026, а разница определяется на момент вынесения решения, подлежит применению указанная редакция (п. 2 ст. 4 ГК РФ).</w:t>
      </w:r>
    </w:p>
    <w:p>
      <w:pPr>
        <w:spacing w:after="120" w:line="276"/>
        <w:ind w:firstLine="709"/>
        <w:jc w:val="both"/>
      </w:pPr>
      <w:r>
        <w:t xml:space="preserve">Применительно к спору, возникшему до внесения изменений, Верховный Суд РФ также указал, что аналог должен совпадать с возвращаемым товаром и по году выпуска (Определение Судебной коллегии по гражданским делам от 14.07.2026 № 16-КГ26-18-К4).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Размер убытков подлежит установлению с разумной степенью достоверности.</w:t>
      </w:r>
    </w:p>
    <w:p>
      <w:pPr>
        <w:spacing w:after="120" w:line="276"/>
        <w:ind w:firstLine="709"/>
        <w:jc w:val="both"/>
      </w:pPr>
      <w:r>
        <w:t xml:space="preserve">Истец обязан доказать наличие и размер убытков; размер устанавливается с разумной степенью достоверности, а возмещение не должно приводить к неосновательному обогащению потребителя (п. 12 постановления Пленума Верховного Суда РФ от 23.06.2015 № 25, п. 31 постановления Пленума Верховного Суда РФ от 28.06.2012 № 17, Определение № 32-КГ26-10-К1). Для определения цены соответствующего товара требуются специальные знания в области автотехники и оценки, в связи с чем на основании ст. 79 ГПК РФ необходимо назначение экспертизы.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Экспертное учреждение и оплата.</w:t>
      </w:r>
    </w:p>
    <w:p>
      <w:pPr>
        <w:spacing w:after="120" w:line="276"/>
        <w:ind w:firstLine="709"/>
        <w:jc w:val="both"/>
      </w:pPr>
      <w:r>
        <w:t xml:space="preserve">Ответчик предлагает поручить экспертизу одному из учреждений:</w:t>
      </w:r>
    </w:p>
    <w:p>
      <w:pPr>
        <w:spacing w:after="120" w:line="276"/>
        <w:ind w:left="360" w:hanging="360"/>
        <w:jc w:val="both"/>
      </w:pPr>
      <w:r>
        <w:t xml:space="preserve">1. [Наименование учреждения № 1], адрес: [адрес]; срок проведения [количество] рабочих дней, стоимость [сумма] руб. (письмо от [дата] № [номер]);</w:t>
      </w:r>
    </w:p>
    <w:p>
      <w:pPr>
        <w:spacing w:after="120" w:line="276"/>
        <w:ind w:left="360" w:hanging="360"/>
        <w:jc w:val="both"/>
      </w:pPr>
      <w:r>
        <w:t xml:space="preserve">2. [Наименование учреждения № 2], адрес: [адрес]; срок проведения [количество] рабочих дней, стоимость [сумма] руб. (письмо от [дата] № [номер]).</w:t>
      </w:r>
    </w:p>
    <w:p>
      <w:pPr>
        <w:spacing w:after="120" w:line="276"/>
        <w:ind w:firstLine="709"/>
        <w:jc w:val="both"/>
      </w:pPr>
      <w:r>
        <w:t xml:space="preserve">Ответчик согласен оплатить экспертизу. Денежные средства в размере [сумма] руб. внесены на счёт Управления Судебного департамента в [субъект РФ] платёжным поручением от [дата] № [номер] (ч. 1 ст. 96, ч. 4 ст. 79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Вопросы эксперту.</w:t>
      </w:r>
    </w:p>
    <w:p>
      <w:pPr>
        <w:spacing w:after="120" w:line="276"/>
        <w:ind w:firstLine="709"/>
        <w:jc w:val="both"/>
      </w:pPr>
      <w:r>
        <w:t xml:space="preserve">Ответчик просит поставить перед экспертом следующие вопросы:</w:t>
      </w:r>
    </w:p>
    <w:p>
      <w:pPr>
        <w:spacing w:after="120" w:line="276"/>
        <w:ind w:left="360" w:hanging="360"/>
        <w:jc w:val="both"/>
      </w:pPr>
      <w:r>
        <w:t xml:space="preserve">1. Какова рыночная стоимость на дату проведения исследования автомобиля [марка, модель] [год выпуска] года выпуска, аналогичного Автомобилю (VIN [VIN]) по техническим и эксплуатационным характеристикам и комплектации и обладающего такой же степенью износа?</w:t>
      </w:r>
    </w:p>
    <w:p>
      <w:pPr>
        <w:spacing w:after="120" w:line="276"/>
        <w:ind w:left="360" w:hanging="360"/>
        <w:jc w:val="both"/>
      </w:pPr>
      <w:r>
        <w:t xml:space="preserve">2. Какова стоимость на дату проведения исследования нового автомобиля той же марки, модели, года выпуска и комплектации, что и Автомобиль, в том числе определённая расчётными методами при отсутствии такого автомобиля в продаже?</w:t>
      </w:r>
    </w:p>
    <w:p>
      <w:pPr>
        <w:spacing w:after="120" w:line="276"/>
        <w:ind w:left="360" w:hanging="360"/>
        <w:jc w:val="both"/>
      </w:pPr>
      <w:r>
        <w:t xml:space="preserve">3. Выпускается ли изготовителем модель, являющаяся преемником модели [марка, модель], и какова её стоимость на дату исследования в комплектации, наиболее близкой к комплектации Автомобиля?</w:t>
      </w:r>
    </w:p>
    <w:p>
      <w:pPr>
        <w:spacing w:after="120" w:line="276"/>
        <w:ind w:left="360" w:hanging="360"/>
        <w:jc w:val="both"/>
      </w:pPr>
      <w:r>
        <w:t xml:space="preserve">4. Соответствует ли автомобиль [марка и модель аналога истца] Автомобилю по категории в соответствии с ТР ТС 018/2011, функциональному назначению, классу и ценовому сегменту на дату приобретения Автомобиля?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56, 79, 80, 96, 216 ГПК РФ, п. 4 ст. 24 Закона о защите прав потребителей,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Назначить по делу судебную автотовароведческую экспертизу, поручив её проведение [наименование учреждения № 1] либо [наименование учреждения № 2].</w:t>
      </w:r>
    </w:p>
    <w:p>
      <w:pPr>
        <w:spacing w:after="120" w:line="276"/>
        <w:ind w:left="360" w:hanging="360"/>
        <w:jc w:val="both"/>
      </w:pPr>
      <w:r>
        <w:t xml:space="preserve">2. Поставить перед экспертом вопросы, приведённые в разделе 5 настоящего ходатайства.</w:t>
      </w:r>
    </w:p>
    <w:p>
      <w:pPr>
        <w:spacing w:after="120" w:line="276"/>
        <w:ind w:left="360" w:hanging="360"/>
        <w:jc w:val="both"/>
      </w:pPr>
      <w:r>
        <w:t xml:space="preserve">3. Обязать Истца предоставить Автомобиль для осмотра эксперту в согласованные с экспертом дату и место и разъяснить последствия уклонения, предусмотренные ч. 3 ст. 79 ГПК РФ.</w:t>
      </w:r>
    </w:p>
    <w:p>
      <w:pPr>
        <w:spacing w:after="120" w:line="276"/>
        <w:ind w:left="360" w:hanging="360"/>
        <w:jc w:val="both"/>
      </w:pPr>
      <w:r>
        <w:t xml:space="preserve">4. Предоставить эксперту материалы дела и документы, приложенные к настоящему ходатайству.</w:t>
      </w:r>
    </w:p>
    <w:p>
      <w:pPr>
        <w:spacing w:after="120" w:line="276"/>
        <w:ind w:left="360" w:hanging="360"/>
        <w:jc w:val="both"/>
      </w:pPr>
      <w:r>
        <w:t xml:space="preserve">5. Приостановить производство по делу на время проведения экспертизы.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письма Ответчика о прекращении производства модели [марка, модель].</w:t>
      </w:r>
    </w:p>
    <w:p>
      <w:pPr>
        <w:spacing w:after="120" w:line="276"/>
        <w:ind w:left="360" w:hanging="360"/>
        <w:jc w:val="both"/>
      </w:pPr>
      <w:r>
        <w:t xml:space="preserve">2. Сведения о категории Автомобиля и автомобиля [марка и модель аналога истца] по одобрению типа транспортного средства.</w:t>
      </w:r>
    </w:p>
    <w:p>
      <w:pPr>
        <w:spacing w:after="120" w:line="276"/>
        <w:ind w:left="360" w:hanging="360"/>
        <w:jc w:val="both"/>
      </w:pPr>
      <w:r>
        <w:t xml:space="preserve">3. Сведения о ценах на автомобиль [марка, модель] [год выпуска] года выпуска на дату подачи ходатайства.</w:t>
      </w:r>
    </w:p>
    <w:p>
      <w:pPr>
        <w:spacing w:after="120" w:line="276"/>
        <w:ind w:left="360" w:hanging="360"/>
        <w:jc w:val="both"/>
      </w:pPr>
      <w:r>
        <w:t xml:space="preserve">4. Письма экспертных учреждений о возможности, сроках и стоимости проведения экспертизы.</w:t>
      </w:r>
    </w:p>
    <w:p>
      <w:pPr>
        <w:spacing w:after="120" w:line="276"/>
        <w:ind w:left="360" w:hanging="360"/>
        <w:jc w:val="both"/>
      </w:pPr>
      <w:r>
        <w:t xml:space="preserve">5. Копия платёжного поручения от [дата] № [номер] о внесении денежных средств на депозитный счёт.</w:t>
      </w:r>
    </w:p>
    <w:p>
      <w:pPr>
        <w:spacing w:after="120" w:line="276"/>
        <w:ind w:left="360" w:hanging="360"/>
        <w:jc w:val="both"/>
      </w:pPr>
      <w:r>
        <w:t xml:space="preserve">6. Доказательства направления копии ходатайства Истцу.</w:t>
      </w:r>
    </w:p>
    <w:p>
      <w:pPr>
        <w:spacing w:after="120" w:line="276"/>
        <w:ind w:left="360" w:hanging="360"/>
        <w:jc w:val="both"/>
      </w:pPr>
      <w:r>
        <w:t xml:space="preserve">7. Копия доверенности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 изготовителя]» [подпись]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2026-10-26T06:03:39.573Z</dcterms:created>
  <dcterms:modified xsi:type="dcterms:W3CDTF">2026-10-26T06:03:39.573Z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