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
      </w:r>
    </w:p>
    <w:p>
      <w:pPr>
        <w:spacing w:after="0"/>
        <w:jc w:val="right"/>
      </w:pPr>
      <w:r>
        <w:t xml:space="preserve">Истец: АО «[наименование банка]», ИНН [ИНН], ОГРН [ОГРН], [адрес]</w:t>
      </w:r>
    </w:p>
    <w:p>
      <w:pPr>
        <w:spacing w:after="0"/>
        <w:jc w:val="right"/>
      </w:pPr>
      <w:r>
        <w:t xml:space="preserve"/>
      </w:r>
    </w:p>
    <w:p>
      <w:pPr>
        <w:spacing w:after="0"/>
        <w:jc w:val="right"/>
      </w:pPr>
      <w:r>
        <w:t xml:space="preserve">Ответчик: муниципальное казённое учреждение «[наименование]», ИНН [ИНН], ОГРН [ОГРН], [адрес], тел. [телефон], эл. почта [адрес электронной почты]</w:t>
      </w:r>
    </w:p>
    <w:p>
      <w:pPr>
        <w:spacing w:after="0"/>
        <w:jc w:val="right"/>
      </w:pPr>
      <w:r>
        <w:t xml:space="preserve"/>
      </w:r>
    </w:p>
    <w:p>
      <w:pPr>
        <w:spacing w:after="0"/>
        <w:jc w:val="right"/>
      </w:pPr>
      <w:r>
        <w:t xml:space="preserve">Третье лицо: ООО «[наименование подрядчика]», ИНН [ИНН], ОГРН [ОГРН], [адрес]</w:t>
      </w:r>
    </w:p>
    <w:p>
      <w:pPr>
        <w:spacing w:after="0"/>
        <w:jc w:val="right"/>
      </w:pPr>
      <w:r>
        <w:t xml:space="preserve"/>
      </w:r>
    </w:p>
    <w:p>
      <w:pPr>
        <w:spacing w:after="0"/>
        <w:jc w:val="right"/>
      </w:pPr>
      <w:r>
        <w:t xml:space="preserve">Дело № [номер дела]</w:t>
      </w:r>
    </w:p>
    <w:p>
      <w:pPr>
        <w:spacing w:after="0"/>
        <w:jc w:val="right"/>
      </w:pPr>
      <w:r>
        <w:t xml:space="preserve"/>
      </w:r>
    </w:p>
    <w:p>
      <w:pPr>
        <w:spacing w:after="0"/>
        <w:jc w:val="right"/>
      </w:pPr>
      <w:r>
        <w:t xml:space="preserve">Судья [ФИО судьи]</w:t>
      </w:r>
    </w:p>
    <w:p>
      <w:pPr>
        <w:spacing w:after="240" w:before="240"/>
        <w:jc w:val="center"/>
      </w:pPr>
      <w:r>
        <w:rPr>
          <w:b/>
          <w:bCs/>
          <w:sz w:val="32"/>
          <w:szCs w:val="32"/>
        </w:rPr>
        <w:t xml:space="preserve">ОТЗЫВ</w:t>
      </w:r>
    </w:p>
    <w:p>
      <w:pPr>
        <w:spacing w:after="160" w:before="200"/>
        <w:jc w:val="center"/>
      </w:pPr>
      <w:r>
        <w:rPr>
          <w:b/>
          <w:bCs/>
        </w:rPr>
        <w:t xml:space="preserve">на исковое заявление о взыскании денежных средств, выплаченных по независимой гарантии</w:t>
      </w:r>
    </w:p>
    <w:p>
      <w:pPr>
        <w:spacing w:after="120" w:line="276"/>
        <w:ind w:firstLine="709"/>
        <w:jc w:val="both"/>
      </w:pPr>
      <w:r>
        <w:t xml:space="preserve">АО «[наименование банка]» (далее: Истец, Гарант) обратилось с иском к муниципальному казённому учреждению «[наименование]» (далее: Ответчик, Заказчик) о взыскании 21 600 000 руб. как неосновательного обогащения, полученного, по мнению Истца, сверх «уменьшенного» лимита независимой гарантии от [дата] № [номер] (далее: Гарантия).</w:t>
      </w:r>
    </w:p>
    <w:p>
      <w:pPr>
        <w:spacing w:after="120" w:line="276"/>
        <w:ind w:firstLine="709"/>
        <w:jc w:val="both"/>
      </w:pPr>
      <w:r>
        <w:t xml:space="preserve">Ответчик с иском не согласен по следующим основаниям.</w:t>
      </w:r>
    </w:p>
    <w:p>
      <w:pPr>
        <w:spacing w:after="120" w:line="276"/>
        <w:ind w:firstLine="709"/>
        <w:jc w:val="both"/>
      </w:pPr>
      <w:r>
        <w:rPr>
          <w:b/>
          <w:bCs/>
        </w:rPr>
        <w:t xml:space="preserve">1. Обстоятельства дела</w:t>
      </w:r>
    </w:p>
    <w:p>
      <w:pPr>
        <w:spacing w:after="120" w:line="276"/>
        <w:ind w:left="360" w:hanging="360"/>
        <w:jc w:val="both"/>
      </w:pPr>
      <w:r>
        <w:t xml:space="preserve">1. Между Заказчиком и ООО «[наименование подрядчика]» (далее: Подрядчик) заключён муниципальный контракт от [дата] 2025 г. № [номер] на выполнение работ по капитальному ремонту здания [наименование школы] (далее: Контракт). Цена Контракта: 100 000 000 руб. По п. [номер] Контракта аванс составлял 30 000 000 руб. (30% цены) и погашался удержанием 30% стоимости каждого принятого этапа работ.</w:t>
      </w:r>
    </w:p>
    <w:p>
      <w:pPr>
        <w:spacing w:after="120" w:line="276"/>
        <w:ind w:left="360" w:hanging="360"/>
        <w:jc w:val="both"/>
      </w:pPr>
      <w:r>
        <w:t xml:space="preserve">2. В обеспечение исполнения Контракта Истец выдал Гарантию на сумму 30 000 000 руб. со сроком действия до [дата]. Гарантия обеспечивает исполнение Подрядчиком всех обязательств по Контракту, включая возврат аванса (п. [номер] Гарантии). Согласно п. [номер] Гарантии «никакие изменения и дополнения, вносимые в контракт, не освобождают гаранта от обязательств по гарантии».</w:t>
      </w:r>
    </w:p>
    <w:p>
      <w:pPr>
        <w:spacing w:after="120" w:line="276"/>
        <w:ind w:left="360" w:hanging="360"/>
        <w:jc w:val="both"/>
      </w:pPr>
      <w:r>
        <w:t xml:space="preserve">3. Дополнительным соглашением от [дата] № [номер] аванс увеличен до 60 000 000 руб., удержание в счёт погашения аванса увеличено до 60% стоимости каждого принятого этапа. Аванс в сумме 60 000 000 руб. перечислен Подрядчику платёжными поручениями от [дата] № [номер] и от [дата] № [номер].</w:t>
      </w:r>
    </w:p>
    <w:p>
      <w:pPr>
        <w:spacing w:after="120" w:line="276"/>
        <w:ind w:left="360" w:hanging="360"/>
        <w:jc w:val="both"/>
      </w:pPr>
      <w:r>
        <w:t xml:space="preserve">4. Заказчик принял работы на 36 000 000 руб. (акты КС-2 и справки КС-3 от [дата] № [номер]). Аванс погашен на 21 600 000 руб. Неотработанный аванс составил 38 400 000 руб. (60 000 000 руб. минус 21 600 000 руб.).</w:t>
      </w:r>
    </w:p>
    <w:p>
      <w:pPr>
        <w:spacing w:after="120" w:line="276"/>
        <w:ind w:left="360" w:hanging="360"/>
        <w:jc w:val="both"/>
      </w:pPr>
      <w:r>
        <w:t xml:space="preserve">5. В связи с нарушением сроков выполнения работ Заказчик [дата] принял решение об одностороннем отказе от исполнения Контракта, которое вступило в силу [дата], и потребовал от Подрядчика вернуть неотработанный аванс. Требование не исполнено.</w:t>
      </w:r>
    </w:p>
    <w:p>
      <w:pPr>
        <w:spacing w:after="120" w:line="276"/>
        <w:ind w:left="360" w:hanging="360"/>
        <w:jc w:val="both"/>
      </w:pPr>
      <w:r>
        <w:t xml:space="preserve">6. [дата] Заказчик направил Гаранту требование об уплате 30 000 000 руб., то есть суммы Гарантии, поскольку неотработанный аванс (38 400 000 руб.) её превышает. Истец выплатил указанную сумму платёжным поручением от [дата] № [номер] без замечаний к требованию.</w:t>
      </w:r>
    </w:p>
    <w:p>
      <w:pPr>
        <w:spacing w:after="120" w:line="276"/>
        <w:ind w:left="360" w:hanging="360"/>
        <w:jc w:val="both"/>
      </w:pPr>
      <w:r>
        <w:t xml:space="preserve">7. Истец считает, что лимит Гарантии подлежал уменьшению на погашенный аванс (30 000 000 руб. минус 21 600 000 руб., то есть 8 400 000 руб.), а увеличение аванса Гарантией не обеспечено. Эти доводы не основаны на тексте Гарантии и законе.</w:t>
      </w:r>
    </w:p>
    <w:p>
      <w:pPr>
        <w:spacing w:after="120" w:line="276"/>
        <w:ind w:firstLine="709"/>
        <w:jc w:val="both"/>
      </w:pPr>
      <w:r>
        <w:rPr>
          <w:b/>
          <w:bCs/>
        </w:rPr>
        <w:t xml:space="preserve">2. Объём обязательства Гаранта определяется текстом Гарантии</w:t>
      </w:r>
    </w:p>
    <w:p>
      <w:pPr>
        <w:spacing w:after="120" w:line="276"/>
        <w:ind w:left="360" w:hanging="360"/>
        <w:jc w:val="both"/>
      </w:pPr>
      <w:r>
        <w:t xml:space="preserve">8. Гарант обязуется уплатить бенефициару денежную сумму в соответствии с условиями данного им обязательства (п. 1 ст. 368 ГК РФ). Условие об уменьшении суммы гарантии при наступлении определённого события должно содержаться в самой гарантии (абзац последний п. 4 ст. 368 ГК РФ). Такого условия в Гарантии нет.</w:t>
      </w:r>
    </w:p>
    <w:p>
      <w:pPr>
        <w:spacing w:after="120" w:line="276"/>
        <w:ind w:left="360" w:hanging="360"/>
        <w:jc w:val="both"/>
      </w:pPr>
      <w:r>
        <w:t xml:space="preserve">9. Пункт [номер] Гарантии прямо предусматривает, что изменения Контракта не освобождают Гаранта от обязательств. Оговорок о том, что он не распространяется на изменение размера аванса, пункт не содержит.</w:t>
      </w:r>
    </w:p>
    <w:p>
      <w:pPr>
        <w:spacing w:after="120" w:line="276"/>
        <w:ind w:left="360" w:hanging="360"/>
        <w:jc w:val="both"/>
      </w:pPr>
      <w:r>
        <w:t xml:space="preserve">10. В аналогичной ситуации Судебная коллегия по экономическим спорам Верховного Суда РФ указала, что при наличии в гарантии такой оговорки увеличение аванса дополнительными соглашениями не освобождает гаранта от обязательства возвратить аванс в пределах суммы гарантии, а требование, рассчитанное как разница между выплаченным и погашенным авансом, законно (Определение от 13.08.2026 № 305-ЭС26-4737 по делу № А40-234068/2024). Довод банка о том, что оговорка касается лишь «иных» изменений, коллегия отклонила как не основанный на тексте гарантии.</w:t>
      </w:r>
    </w:p>
    <w:p>
      <w:pPr>
        <w:spacing w:after="120" w:line="276"/>
        <w:ind w:firstLine="709"/>
        <w:jc w:val="both"/>
      </w:pPr>
      <w:r>
        <w:rPr>
          <w:b/>
          <w:bCs/>
        </w:rPr>
        <w:t xml:space="preserve">3. Требование Заказчика рассчитано верно и не превышает суммы Гарантии</w:t>
      </w:r>
    </w:p>
    <w:p>
      <w:pPr>
        <w:spacing w:after="120" w:line="276"/>
        <w:ind w:left="360" w:hanging="360"/>
        <w:jc w:val="both"/>
      </w:pPr>
      <w:r>
        <w:t xml:space="preserve">11. Выплаченный аванс (60 000 000 руб.) за вычетом погашенного (21 600 000 руб.) составляет 38 400 000 руб. Поскольку обязательство гаранта ограничено суммой гарантии (п. 1 ст. 377 ГК РФ), требование заявлено на 30 000 000 руб. Сверх суммы Гарантии Заказчик ничего не получил.</w:t>
      </w:r>
    </w:p>
    <w:p>
      <w:pPr>
        <w:spacing w:after="120" w:line="276"/>
        <w:ind w:firstLine="709"/>
        <w:jc w:val="both"/>
      </w:pPr>
      <w:r>
        <w:rPr>
          <w:b/>
          <w:bCs/>
        </w:rPr>
        <w:t xml:space="preserve">4. Оснований для уменьшения обеспечения по ст. 96 Закона № 44-ФЗ не было</w:t>
      </w:r>
    </w:p>
    <w:p>
      <w:pPr>
        <w:spacing w:after="120" w:line="276"/>
        <w:ind w:left="360" w:hanging="360"/>
        <w:jc w:val="both"/>
      </w:pPr>
      <w:r>
        <w:t xml:space="preserve">12. Размер обеспечения исполнения контракта уменьшается в порядке и случаях, предусмотренных ч. 7.2 и 7.3 ст. 96 Федерального закона от 05.04.2013 № 44-ФЗ: на основании информации об исполнении, размещённой в реестре контрактов, и только при условии приёмки работ в объёме выплаченного аванса. Подрядчик не предоставлял нового обеспечения взамен Гарантии (ч. 7 ст. 96), а работы приняты на 36 000 000 руб. при выплаченном авансе 60 000 000 руб. Условие ч. 7.3 ст. 96 не выполнено.</w:t>
      </w:r>
    </w:p>
    <w:p>
      <w:pPr>
        <w:spacing w:after="120" w:line="276"/>
        <w:ind w:left="360" w:hanging="360"/>
        <w:jc w:val="both"/>
      </w:pPr>
      <w:r>
        <w:t xml:space="preserve">13. Пункт 27 Обзора судебной практики применения законодательства о контрактной системе (утв. Президиумом Верховного Суда РФ 28.06.2017), на который ссылается Истец, касается права поставщика (подрядчика) заменить обеспечение уменьшенным после частичной приёмки. Он не наделяет гаранта правом самостоятельно уменьшать выплату на стоимость принятых работ.</w:t>
      </w:r>
    </w:p>
    <w:p>
      <w:pPr>
        <w:spacing w:after="120" w:line="276"/>
        <w:ind w:firstLine="709"/>
        <w:jc w:val="both"/>
      </w:pPr>
      <w:r>
        <w:rPr>
          <w:b/>
          <w:bCs/>
        </w:rPr>
        <w:t xml:space="preserve">5. Гарант не вправе ссылаться на расчёты по Контракту</w:t>
      </w:r>
    </w:p>
    <w:p>
      <w:pPr>
        <w:spacing w:after="120" w:line="276"/>
        <w:ind w:left="360" w:hanging="360"/>
        <w:jc w:val="both"/>
      </w:pPr>
      <w:r>
        <w:t xml:space="preserve">14. Обязательство гаранта не зависит от основного обязательства, и гарант не вправе выдвигать возражения, вытекающие из него (п. 1, 2 ст. 370 ГК РФ). Отказ в платеже допускается только при несоответствии требования условиям гарантии или его предъявлении после окончания срока её действия (п. 1 ст. 376 ГК РФ). Требование Заказчика соответствовало Гарантии и предъявлено в срок, что Истец не оспаривает.</w:t>
      </w:r>
    </w:p>
    <w:p>
      <w:pPr>
        <w:spacing w:after="120" w:line="276"/>
        <w:ind w:left="360" w:hanging="360"/>
        <w:jc w:val="both"/>
      </w:pPr>
      <w:r>
        <w:t xml:space="preserve">15. Ссылка гаранта на частичное выполнение работ относится к расчётам по основному обязательству и не свидетельствует о злоупотреблении бенефициара; если гарантия не ограничена первоначальным авансом, её условия толкуются в пользу бенефициара (Определение Судебной коллегии по экономическим спорам Верховного Суда РФ от 16.06.2017 № 305-ЭС16-17109). Гарант не вправе вторгаться в оценку отношений сторон основного обязательства (Определение Судебной коллегии по экономическим спорам Верховного Суда РФ от 16.10.2025 № 302-ЭС25-5275, п. 9 и 11 Обзора судебной практики разрешения споров, связанных с применением законодательства о независимой гарантии, утв. Президиумом Верховного Суда РФ 05.06.2019).</w:t>
      </w:r>
    </w:p>
    <w:p>
      <w:pPr>
        <w:spacing w:after="120" w:line="276"/>
        <w:ind w:firstLine="709"/>
        <w:jc w:val="both"/>
      </w:pPr>
      <w:r>
        <w:rPr>
          <w:b/>
          <w:bCs/>
        </w:rPr>
        <w:t xml:space="preserve">6. Позиция Истца непоследовательна (ст. 10 ГК РФ)</w:t>
      </w:r>
    </w:p>
    <w:p>
      <w:pPr>
        <w:spacing w:after="120" w:line="276"/>
        <w:ind w:left="360" w:hanging="360"/>
        <w:jc w:val="both"/>
      </w:pPr>
      <w:r>
        <w:t xml:space="preserve">16. Истец не признаёт дополнительное соглашение от [дата] № [номер] для определения объёма обеспечения, но вычитает из лимита погашенный аванс 21 600 000 руб., исчисленный по ставке удержания 60%, введённой этим же соглашением. Такое поведение Верховный Суд РФ признал непоследовательным и недобросовестным (Определение № 305-ЭС26-4737).</w:t>
      </w:r>
    </w:p>
    <w:p>
      <w:pPr>
        <w:spacing w:after="120" w:line="276"/>
        <w:ind w:left="360" w:hanging="360"/>
        <w:jc w:val="both"/>
      </w:pPr>
      <w:r>
        <w:t xml:space="preserve">17. Даже по логике Истца, при первоначальной ставке удержания 30% погашенная часть первоначального аванса составила бы 10 800 000 руб. (30% от 36 000 000 руб.), а неотработанный остаток 19 200 000 руб. Расчёт Истца, по которому обеспечено лишь 8 400 000 руб., противоречит его собственной позиции.</w:t>
      </w:r>
    </w:p>
    <w:p>
      <w:pPr>
        <w:spacing w:after="120" w:line="276"/>
        <w:ind w:firstLine="709"/>
        <w:jc w:val="both"/>
      </w:pPr>
      <w:r>
        <w:rPr>
          <w:b/>
          <w:bCs/>
        </w:rPr>
        <w:t xml:space="preserve">7. На стороне Заказчика нет неосновательного обогащения</w:t>
      </w:r>
    </w:p>
    <w:p>
      <w:pPr>
        <w:spacing w:after="120" w:line="276"/>
        <w:ind w:left="360" w:hanging="360"/>
        <w:jc w:val="both"/>
      </w:pPr>
      <w:r>
        <w:t xml:space="preserve">18. Денежные средства получены на основании Гарантии и требования, соответствующего её условиям, поэтому приобретение не является неосновательным (п. 1 ст. 1102 ГК РФ). Документы Заказчика достоверны, требование обосновано, поэтому ст. 375.1 ГК РФ не применяется. Гарант, исполнивший требование по условиям гарантии, не вправе взыскивать уплаченное с бенефициара (Определение Верховного Суда РФ от 21.04.2021 № 305-ЭС21-4208).</w:t>
      </w:r>
    </w:p>
    <w:p>
      <w:pPr>
        <w:spacing w:after="120" w:line="276"/>
        <w:ind w:left="360" w:hanging="360"/>
        <w:jc w:val="both"/>
      </w:pPr>
      <w:r>
        <w:t xml:space="preserve">19. Выплаченное по условиям Гарантии Истец вправе требовать с Подрядчика в порядке регресса (п. 1 ст. 379 ГК РФ). Иск к Заказчику фактически перекладывает на бюджет риск неплатёжеспособности принципала.</w:t>
      </w:r>
    </w:p>
    <w:p>
      <w:pPr>
        <w:spacing w:after="120" w:line="276"/>
        <w:ind w:firstLine="709"/>
        <w:jc w:val="both"/>
      </w:pPr>
      <w:r>
        <w:t xml:space="preserve">На основании изложенного, руководствуясь ст. 131 Арбитражного процессуального кодекса РФ,</w:t>
      </w:r>
    </w:p>
    <w:p>
      <w:pPr>
        <w:spacing w:after="120" w:line="276"/>
        <w:ind w:firstLine="709"/>
        <w:jc w:val="both"/>
      </w:pPr>
      <w:r>
        <w:rPr>
          <w:b/>
          <w:bCs/>
        </w:rPr>
        <w:t xml:space="preserve">ПРОШУ:</w:t>
      </w:r>
    </w:p>
    <w:p>
      <w:pPr>
        <w:spacing w:after="120" w:line="276"/>
        <w:ind w:left="360" w:hanging="360"/>
        <w:jc w:val="both"/>
      </w:pPr>
      <w:r>
        <w:t xml:space="preserve">1. Отказать АО «[наименование банка]» в удовлетворении исковых требований в полном объёме.</w:t>
      </w:r>
    </w:p>
    <w:p>
      <w:pPr>
        <w:spacing w:after="120" w:line="276"/>
        <w:ind w:firstLine="709"/>
        <w:jc w:val="both"/>
      </w:pPr>
      <w:r>
        <w:t xml:space="preserve">Ответчик считает примирение возможным только на условиях отказа Истца от иска.</w:t>
      </w:r>
    </w:p>
    <w:p>
      <w:pPr>
        <w:spacing w:after="120" w:line="276"/>
        <w:ind w:firstLine="709"/>
        <w:jc w:val="both"/>
      </w:pPr>
      <w:r>
        <w:rPr>
          <w:b/>
          <w:bCs/>
        </w:rPr>
        <w:t xml:space="preserve">Приложения:</w:t>
      </w:r>
    </w:p>
    <w:p>
      <w:pPr>
        <w:spacing w:after="120" w:line="276"/>
        <w:ind w:left="360" w:hanging="360"/>
        <w:jc w:val="both"/>
      </w:pPr>
      <w:r>
        <w:t xml:space="preserve">1. Муниципальный контракт от [дата] № [номер] с дополнительным соглашением от [дата] № [номер].</w:t>
      </w:r>
    </w:p>
    <w:p>
      <w:pPr>
        <w:spacing w:after="120" w:line="276"/>
        <w:ind w:left="360" w:hanging="360"/>
        <w:jc w:val="both"/>
      </w:pPr>
      <w:r>
        <w:t xml:space="preserve">2. Независимая гарантия от [дата] № [номер].</w:t>
      </w:r>
    </w:p>
    <w:p>
      <w:pPr>
        <w:spacing w:after="120" w:line="276"/>
        <w:ind w:left="360" w:hanging="360"/>
        <w:jc w:val="both"/>
      </w:pPr>
      <w:r>
        <w:t xml:space="preserve">3. Платёжные поручения о перечислении аванса.</w:t>
      </w:r>
    </w:p>
    <w:p>
      <w:pPr>
        <w:spacing w:after="120" w:line="276"/>
        <w:ind w:left="360" w:hanging="360"/>
        <w:jc w:val="both"/>
      </w:pPr>
      <w:r>
        <w:t xml:space="preserve">4. Акты КС-2 и справки КС-3, расчёт погашения аванса.</w:t>
      </w:r>
    </w:p>
    <w:p>
      <w:pPr>
        <w:spacing w:after="120" w:line="276"/>
        <w:ind w:left="360" w:hanging="360"/>
        <w:jc w:val="both"/>
      </w:pPr>
      <w:r>
        <w:t xml:space="preserve">5. Выписка из реестра контрактов по Контракту.</w:t>
      </w:r>
    </w:p>
    <w:p>
      <w:pPr>
        <w:spacing w:after="120" w:line="276"/>
        <w:ind w:left="360" w:hanging="360"/>
        <w:jc w:val="both"/>
      </w:pPr>
      <w:r>
        <w:t xml:space="preserve">6. Решение об одностороннем отказе от исполнения Контракта и доказательства его вступления в силу.</w:t>
      </w:r>
    </w:p>
    <w:p>
      <w:pPr>
        <w:spacing w:after="120" w:line="276"/>
        <w:ind w:left="360" w:hanging="360"/>
        <w:jc w:val="both"/>
      </w:pPr>
      <w:r>
        <w:t xml:space="preserve">7. Требование Заказчика к Гаранту от [дата] и платёжное поручение Истца от [дата] № [номер].</w:t>
      </w:r>
    </w:p>
    <w:p>
      <w:pPr>
        <w:spacing w:after="120" w:line="276"/>
        <w:ind w:left="360" w:hanging="360"/>
        <w:jc w:val="both"/>
      </w:pPr>
      <w:r>
        <w:t xml:space="preserve">8. Копия Определения Верховного Суда РФ от 13.08.2026 № 305-ЭС26-4737.</w:t>
      </w:r>
    </w:p>
    <w:p>
      <w:pPr>
        <w:spacing w:after="120" w:line="276"/>
        <w:ind w:left="360" w:hanging="360"/>
        <w:jc w:val="both"/>
      </w:pPr>
      <w:r>
        <w:t xml:space="preserve">9. Доказательства направления отзыва Истцу и третьему лицу.</w:t>
      </w:r>
    </w:p>
    <w:p>
      <w:pPr>
        <w:spacing w:after="120" w:line="276"/>
        <w:ind w:left="360" w:hanging="360"/>
        <w:jc w:val="both"/>
      </w:pPr>
      <w:r>
        <w:t xml:space="preserve">10. Доверенность представителя.</w:t>
      </w:r>
    </w:p>
    <w:p>
      <w:pPr>
        <w:spacing w:after="120" w:line="276"/>
        <w:ind w:firstLine="709"/>
        <w:jc w:val="both"/>
      </w:pPr>
      <w:r>
        <w:t xml:space="preserve">[должность руководителя или представителя]</w:t>
      </w:r>
    </w:p>
    <w:p>
      <w:pPr>
        <w:spacing w:after="120" w:line="276"/>
        <w:ind w:firstLine="709"/>
        <w:jc w:val="both"/>
      </w:pPr>
      <w:r>
        <w:t xml:space="preserve">[подпись] / [ФИО]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2026-10-28T06:39:37.334Z</dcterms:created>
  <dcterms:modified xsi:type="dcterms:W3CDTF">2026-10-28T06:39:37.334Z</dcterms:modified>
</cp:coreProperties>
</file>

<file path=docProps/custom.xml><?xml version="1.0" encoding="utf-8"?>
<Properties xmlns="http://schemas.openxmlformats.org/officeDocument/2006/custom-properties" xmlns:vt="http://schemas.openxmlformats.org/officeDocument/2006/docPropsVTypes"/>
</file>