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Договор поставки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[номер]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«Поставщик»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«Договор»)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Поставщик обязуется в течение срока действия Договора передавать в собственность Покупателя товар, а Покупатель — принимать и оплачивать его на условиях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Наименование, ассортимент, количество, цена товара, срок и адрес поставки каждой партии согласуются Сторонами в спецификациях (далее — «Спецификация»), которые являются неотъемлемой частью Договора. Форма Спецификации приведена в Приложении № 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приобретает товар для использования в предпринимательской деятельности.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Поставщик гарантирует, что товар принадлежит ему на праве собственности, не заложен, не находится под арестом и свободен от прав третьих лиц.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Качество и комплектность товара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Качество товара должно соответствовать обязательным требованиям, установленным законодательством Российской Федерации для данного вида товара, техническим условиям изготовителя и Спецификации.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Товар передаётся с документами, подтверждающими его качество и безопасность (сертификат или декларация о соответствии, паспорт изделия, иное), и в комплектности, указанной в Спецификации.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Гарантийный срок на товар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со дня его передачи Покупателю, если более длительный срок не установлен изготовителем.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Порядок и срок поставки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Поставщик доставляет товар своим транспортом или с привлечением перевозчика по адресу, указанному в Спецификации. Расходы на доставку включены в цену товара.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Срок поставки каждой партии указывается в Спецификации. Поставщик вправе поставить товар досрочно только с согласия Покупателя.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 уведомляет Покупателя о дате и времени доставки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дня по электронной почте.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товаром Поставщик передаёт универсальный передаточный документ (УПД) или товарную накладную и счёт-фактуру, а также документы, указанные в пункте 2.2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товар и риск его случайной гибели или повреждения переходят к Покупателю с момента подписания им УПД (товарной накладной).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Приёмка товара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принимает товар по количеству мест и внешнему виду упаковки в момент получения, а по количеству единиц и качеству —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обнаружении несоответствия товара по количеству, ассортименту, качеству или комплектности Покупатель составляет акт с описанием выявленных недостатков 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направляет его копию Поставщику. Поставщик вправе направить своего представителя для участия в повторной приёмке.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 обязан за свой счёт допоставить недостающий товар, заменить некачественный или некомплектный товар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акта Покупателя.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Покупатель отказывается от товара, переданного Поставщиком, он обеспечивает его сохранность до вывоза (ответственное хранение) и незамедлительно уведомляет Поставщика. Поставщик вывозит такой товар за свой счёт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уведомления.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товара указывается в Спецификации в рублях и включает НДС по ставке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%, стоимость упаковки, маркировки и доставки.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Общая сумма Договора складывается из стоимости товара по всем подписанным Спецификациям.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оплачивает каждую партию товара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её получения и подписания УПД (товарной накладной) на основании выставленного счёта.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переводом на расчётный счёт Поставщика. Обязательство по оплате считается исполненным с момента зачисления денежных средств на корреспондентский счёт банка Поставщика.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ежеквартально, а также по запросу любой из них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проводят сверку расчётов с подписанием акта сверки.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Проценты на сумму отсрочки платежа (статья 317.1 Гражданского кодекса Российской Федерации) не начисляются.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поставки (недопоставку) или срока замены товара Поставщик уплачивает Покупателю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стоимости не поставленного в срок товара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стоимости этого товара.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нарушение срока оплаты Покупатель уплачивает Поставщику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неустойки не освобождает Стороны от исполнения обязательств. Убытки возмещаются в части, не покрытой неустойкой.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Неустойка начисляется только на основании письменного требования (претензии) Стороны.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7. Обстоятельства непреодолимой силы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освобождаются от ответственности за неисполнение Договора, вызванное обстоятельствами непреодолимой силы (статья 401 Гражданского кодекса Российской Федерации), при условии, что Сторона, для которой они наступили, уведомила другую Сторону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момента их наступления и подтвердила их документом уполномоченного органа.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такие обстоятельства длятся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каждая Сторона вправе отказаться от Договора, уведомив другую Сторону письменно.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8. Срок действия, изменение и расторжение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в части расчётов — до полного исполнения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ни одна из Сторон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до окончания срока действия письменно не заявит о его прекращении, Договор считается продлённым на каждый следующий календарный год.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вправе в одностороннем порядке отказаться от исполнения Договора при существенном нарушении его другой Стороной в случаях, предусмотренных статьёй 523 Гражданского кодекса Российской Федерации, направив письменное уведомление. Договор считается расторгнутым с даты получения уведомления.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9.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обращения в суд Сторона, чьи права нарушены, направляет другой Стороне письменную претензию.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урегулирован, он передаётся на рассмотрение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10.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Все изменения и дополнения к Договору действительны, если они совершены в письменной форме и подписаны уполномоченными представителями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признают юридическую силу документов (Спецификаций, УПД, актов, претензий, уведомлений), подписанных усиленной квалифицированной электронной подписью и переданных через оператора электронного документооборота, а также сканированных копий подписанных документов, направленных с адресов электронной почты, указанных в разделе 11. Оригиналы направляются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 считаются полученными в день их отправки по электронной почте или через оператора ЭДО, а при отправке почтой — в день вручения либо по истечении 7 календарных дней с даты поступления письма в отделение связи адресата.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обязаны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письменно сообщать друг другу об изменении наименования, адреса, банковских реквизитов и адресов электронной почты.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остальном, что не предусмотрено Договором, Стороны руководствуются Гражданским кодексом Российской Федерации, в том числе параграфами 1 и 3 главы 30.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равную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№ 1 — форма Спецификации.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11.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Поставщик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[телефон]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[телефон]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Без согласованного наименования и количества товара договор поставки считается незаключённым, поэтому подписывайте Спецификацию на каждую партию до отгрузки. Ставку НДС в пункте 5.1 укажите по своему налоговому режиму: общая ставка с 1 января 2026 года — 22 %.</w:t>
      </w:r>
    </w:p>
    <w:p>
      <w:r>
        <w:br w:type="page"/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Спецификация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 к договору поставки №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[дата]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Поставщик поставляет, а Покупатель принимает и оплачивает следующий товар: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  <w:tblLayout w:type="fixed"/>
      </w:tblPr>
      <w:tblGrid>
        <w:gridCol w:w="2831"/>
        <w:gridCol w:w="2461"/>
        <w:gridCol w:w="1969"/>
        <w:gridCol w:w="2092"/>
      </w:tblGrid>
      <w:tr>
        <w:trPr>
          <w:cantSplit/>
        </w:trPr>
        <w:tc>
          <w:tcPr>
            <w:tcW w:type="dxa" w:w="2831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товара</w:t>
            </w:r>
          </w:p>
        </w:tc>
        <w:tc>
          <w:tcPr>
            <w:tcW w:type="dxa" w:w="2462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Количество, ед. изм.</w:t>
            </w:r>
          </w:p>
        </w:tc>
        <w:tc>
          <w:tcPr>
            <w:tcW w:type="dxa" w:w="1969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 с НДС, руб.</w:t>
            </w:r>
          </w:p>
        </w:tc>
        <w:tc>
          <w:tcPr>
            <w:tcW w:type="dxa" w:w="2093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 с НДС, руб.</w:t>
            </w:r>
          </w:p>
        </w:tc>
      </w:tr>
      <w:tr>
        <w:trPr>
          <w:cantSplit/>
        </w:trPr>
        <w:tc>
          <w:tcPr>
            <w:tcW w:type="dxa" w:w="28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[наименование, артикул]</w:t>
            </w:r>
          </w:p>
        </w:tc>
        <w:tc>
          <w:tcPr>
            <w:tcW w:type="dxa" w:w="2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[количество, шт.]</w:t>
            </w:r>
          </w:p>
        </w:tc>
        <w:tc>
          <w:tcPr>
            <w:tcW w:type="dxa" w:w="1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[цена]</w:t>
            </w:r>
          </w:p>
        </w:tc>
        <w:tc>
          <w:tcPr>
            <w:tcW w:type="dxa" w:w="20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  <w:tr>
        <w:trPr>
          <w:cantSplit/>
        </w:trPr>
        <w:tc>
          <w:tcPr>
            <w:tcW w:type="dxa" w:w="28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[наименование, артикул]</w:t>
            </w:r>
          </w:p>
        </w:tc>
        <w:tc>
          <w:tcPr>
            <w:tcW w:type="dxa" w:w="2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[количество, шт.]</w:t>
            </w:r>
          </w:p>
        </w:tc>
        <w:tc>
          <w:tcPr>
            <w:tcW w:type="dxa" w:w="19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[цена]</w:t>
            </w:r>
          </w:p>
        </w:tc>
        <w:tc>
          <w:tcPr>
            <w:tcW w:type="dxa" w:w="20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  <w:tr>
        <w:trPr>
          <w:cantSplit/>
        </w:trPr>
        <w:tc>
          <w:tcPr>
            <w:tcW w:type="dxa" w:w="28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46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96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0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  <w:shd w:val="clear" w:color="auto" w:fill="FFF4CC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стоимость товара по Спецификации: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НДС]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поставки: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поставки: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склада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оплаты: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получения товара.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Гарантийный срок: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Поставщик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между юридическими лицами со спецификацией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