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водительское удостоверение: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страховой компании]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ущерба, причинённого в результате ДТП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произошло дорожно-транспортное происшествие с участием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принадлежащего мне на праве собственности, под моим управлением, 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принадлежащего Ответчику, под управлением Ответчика.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ДТП произошло по вине Ответчика, который нарушил 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Правил дорожного движения: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что сделал Ответчик]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Вина Ответчика подтверждается постановлением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материалами по факту ДТП. В результате ДТП мой автомобиль получил механические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основных повреждений]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Моя гражданская ответственность застрахована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полису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обратился(-ась) к страховщику с заявлением о страховом возмещении. Страховщик признал случай страховым (убыток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выплатил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Эта сумма рассчитана по Единой методике Банка России с учётом износа заменяемых деталей.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Выплаченной суммы недостаточно для восстановления автомобиля. Согласно заключению эксперта-техника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эксперта /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рыночная стоимость восстановительного ремонта автомобиля без учёта износа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утрата товарной стоимости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Ответчик извещался об осмотре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и дата извещения]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ущерба: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ремонта]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+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[УТС]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−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[страховое возмещение]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=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Кроме того, я понёс(-ла) расходы на эвакуацию автомобиля с места ДТП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на оплату услуг эксперта-техника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претензию с требованием возместить ущерб. Претензия оставлена без удовлетворения.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1064 и пункту 3 статьи 1079 Гражданского кодекса Российской Федерации (далее — ГК РФ) вред, причинённый имуществу гражданина в результате взаимодействия источников повышенной опасности, возмещается в полном объёме лицом, причинившим вред, при наличии его вины. Лицо, право которого нарушено, вправе требовать полного возмещения убытков (статья 15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Юридическое лицо или гражданин, застраховавшие свою ответственность, в случае, когда страховое возмещение недостаточно для того, чтобы полностью возместить причинённый вред, возмещают разницу между страховым возмещением и фактическим размером ущерба (статья 1072 ГК РФ, абзац второй пункта 23 статьи 12 Федерального закона от 25.04.2002 № 40-ФЗ «Об обязательном страховании гражданской ответственности владельцев транспортных средств»).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Конституционный Суд Российской Федерации в постановлении от 10.03.2017 № 6-П указал, что потерпевший вправе требовать с причинителя вреда возмещения ущерба в полном объёме, исходя из стоимости ремонта с использованием новых деталей, без учёта износа. Аналогичные разъяснения даны в пункте 13 постановления Пленума Верховного Суда РФ от 23.06.2015 № 25 и в пунктах 63–65 постановления Пленума Верховного Суда РФ от 08.11.2022 № 31.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Обязанность возместить вред в установленном судом размере возникает у Ответчика со дня вступления решения суда в законную силу. С этого дня на сумму долга подлежат начислению проценты по статье 395 ГК РФ (пункт 57 постановления Пленума Верховного Суда РФ от 24.03.2016 № 7).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жительства Ответчика (статья 28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15, 1064, 1072, 1079 ГК РФ, статьями 98,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в возмещение ущерба, причинённого в результате ДТП,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расходы на эвакуацию автомобиля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расходы на оплату услуг эксперта-техника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расходы на уплату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Ответчика проценты за пользование чужими денежными средствами по статье 395 ГК РФ на взысканные суммы со дня вступления решения суда в законную силу по день фактического исполнения решения.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направлении копии искового заявления с приложениями Ответчику и третьему лицу.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регистрации транспортного средства (ПТС).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сведений о ДТП.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акта о страховом случае, расчёта страховщика и документа о выплате.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эксперта-техника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документы об оплате его услуг.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извещении Ответчика об осмотре автомобиля.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расходах на эвакуацию.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претензии и документ о её направлении Ответчику.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цена иска не превышает 50 000 руб., иск подаётся мировому судье судебного участка по месту жительства Ответчика. Госпошлина: до 100 000 руб. цены иска 4 000 руб., от 100 001 до 300 000 руб. 4 000 руб. плюс 3 % суммы свыше 100 000 руб. (подпункт 1 пункта 1 статьи 333.19 НК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 виновнику ДТП о возмещении ущерба сверх выплаты по ОСАГО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