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 ЕГРЮЛ или ЕГРИП]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или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известны)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материального ущерба, причинённого работником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приёма]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работал у Истца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подразделения, адрес магазина или склада]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приказа о приёме на работу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и Ответчик заключили договор о полной индивидуальной материальной ответственности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Должность Ответчика предусмотрена Перечнем должностей и работ, замещаемых или выполняемых работниками, с которыми работодатель может заключать письменные договоры о полной индивидуальной материальной ответственности за недостачу вверенного имущества (приложение № 1 к постановлению Минтруда России от 31.12.2002 № 85). По этому договору Ответчик принял на себя полную материальную ответственность за недостачу вверенных ему товарно-материальных ценностей.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проведена инвентаризация товарно-материальных ценностей, находившихся в подотчёте Ответчика. Ответчик присутствовал при инвентаризации и подписал инвентаризационную опись. По результатам инвентаризации выявлена недостача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инвентаризационной описью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сличительной ведомостью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установления размера ущерба и причин его возникновения создана комиссия.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Ответчику под подпись вручено требование представить письменное объяснение. В объяснении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изложите позицию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 итогам проверки комиссия составила акт (заключение)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которым установлено, что недостача возникла вследствие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[причина: ненадлежащего исполнения Ответчиком обязанностей по обеспечению сохранности вверенного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размер ущерба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Обстоятельств, исключающих материальную ответственность Ответчика, комиссия не выявила: Истец обеспечил надлежащие условия хранения ценностей, доступ к которым имел только Ответчик.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Ответчику предложено добровольно возместить ущерб, однако ущерб не возмещён.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трудовой договор с Ответчиком прекращён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ущерба превышает средний месячный заработок Ответчика, который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поэтому удержать его из заработной платы по распоряжению работодателя невозможно (часть 1 статьи 248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238 ТК РФ работник обязан возместить работодателю причинённый ему прямой действительный ущерб. Статьёй 242 и пунктом 2 части первой статьи 243 ТК РФ установлено, что материальная ответственность в полном размере причинённого ущерба возлагается на работника при недостаче ценностей, вверенных ему на основании специального письменного договора. Такой договор заключён с Ответчиком в соответствии со статьёй 244 ТК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ущерба определён по данным бухгалтерского учёта с учётом степени износа имущества на день обнаружения недостачи (часть первая статьи 246 ТК РФ) и подтверждён бухгалтерской справкой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Порядок установления размера ущерба и причин его возникновения, предусмотренный статьёй 247 ТК РФ, Истцом соблюдён.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Ущерб обнаружен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поэтому годичный срок обращения в суд, установленный частью четвёртой статьи 392 ТК РФ, не истёк.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предъявлен по месту жительства Ответчика (статья 28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232, 238, 242–244, 246–248, 392 Трудового кодекса Российской Федерации, статьями 98, 131, 132 Гражданского процессуального кодекса Российской Федерации,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 суд: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пользу Истца в возмещение материального ущерба, причинённого работником,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пользу Истца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 (почтовая квитанция и опись вложения).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Платёжное поручение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Доверенность представителя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ЕГРЮЛ (ЕГРИП) в отношении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приказа о приёме на работу.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должностной инструкции с подписью Ответчика об ознакомлении.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о полной индивидуальной материальной ответственности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приказа о проведении инвентаризации, инвентаризационной описи и сличительной ведомости.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приказа о создании комиссии для проведения проверки.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требования о представлении объяснения с подписью Ответчика и копия объяснения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акта (заключения) комиссии по результатам проверки.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Бухгалтерская справка о размере ущерба.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среднем месячном заработке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приказа о прекращении трудового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суммы иска.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должность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на подачу иска — один год со дня обнаружения ущерба. Госпошлину рассчитайте по подпункту 1 пункта 1 статьи 333.19 НК РФ: при цене иска до 100 000 рублей она составляет 4 000 рублей, от 100 001 до 300 000 рублей — 4 000 рублей плюс 3 % суммы, превышающей 100 000 рублей.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работодателя к работнику о возмещении материального ущерба (недостача)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