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установлении неполного рабочего дня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матерью ребёнка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года рождения,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достигшего возраста 14 лет. На основании части третьей статьи 93 Трудового кодекса Российской Федерации прошу установить мне неполное рабочее время на следующих условиях: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Режим: неполный рабочий день продолжительностью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часов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пятидневной рабочей неделе с выходными днями в субботу и воскресенье.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работы: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перерыв для отдыха и питания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предшествующая дню 14-летия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Оплату труда прошу производить пропорционально отработанному времени (часть четвёртая статьи 93 ТК РФ). Продолжительность ежегодного оплачиваемого отпуска, исчисление трудового стажа и другие мои трудовые права сохраняются в полном объёме (часть пятая статьи 93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принять решение и оформить дополнительное соглашение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позднее пяти рабочих дней со дня получения настоящего заявления.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 1 сентября 2026 года работодатель обязан принять решение не позднее 5 рабочих дней с даты письменного обращения. Сохраните копию заявления с отметкой о принятии: от этой даты считается срок.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 свидетельства]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Принято «___» ________ 20___ г., вх. № _____ ________ /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неполный рабочий день по инициативе работника (ст. 93 ТК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