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 прощении долга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(частичном) между юридическими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«Кредитор»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«Должник»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настоящее соглашение (далее — «Соглашение»)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Задолженность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«Договор») на дату подписания Соглашения Должник имеет перед Кредитором следующую задолженность: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 задолженности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Основной долг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[УПД, актам]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[даты]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Неустойка за просрочку оплаты за период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Должник признаёт задолженность, указанную в пункте 1.1, в полном объёме.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Прощение долга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415 Гражданского кодекса Российской Федерации Кредитор освобождает Должника от обязанности уплатить: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неустойку, указанную в пункте 1.1 Соглашения,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часть основного долга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Оставшуюся часть основного долга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Должник уплачивает Кредитору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расчётный счёт, указанный в разделе 6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Прощение долга, указанное в пункте 2.1, вступает в силу при условии, что Должник полностью уплатит сумму, указанную в пункте 2.2, в установленный срок (статья 157 Гражданского кодекса Российской Федерации). С момента такой оплаты обязательства Должника по оплате задолженности, указанной в пункте 1.1, прекращаются полностью.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сумма, указанная в пункте 2.2, не уплачена в срок полностью, прощение долга не наступает. В этом случае Кредитор вправе требовать уплаты всей задолженности, указанной в пункте 1.1, за вычетом поступивших по Соглашению платежей, а также неустойку, начисляемую по Договору до дня фактической оплаты долга.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Цель прощения долга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Прощение долга совершается Кредитором в собственных имущественных интересах: для получения оставшейся суммы основного долга в короткий срок, без судебного взыскания и связанных с ним расходов, а также для сохранения деловых отношений с Должником.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Соглашение не направлено на безвозмездную передачу имущества и не является договором дарения.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Заверения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заверяет другую Сторону, что лицо, подписывающее Соглашение, имеет необходимые полномочия, а все требуемые по закону и уставу корпоративные одобрения получены.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Кредитор заверяет, что прощение долга не нарушает прав третьих лиц в отношении его имущества: требование по Договору не уступлено, не заложено и не арестовано, в отношении Кредитора не возбуждено дело о банкротстве.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уплаты суммы, указанной в пункте 2.2, 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подписывают акт сверки взаимных расчётов по Договору с нулевым сальдо.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равную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Кредитор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Прощённый основной долг — внереализационный доход должника для налога на прибыль и УСН (пункт 18 статьи 250 НК РФ). Прощение части долга в обмен на быструю оплату остатка защищает соглашение от признания запрещённым дарением между коммерческими организациями.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частичном прощении долга между юридическими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