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В</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суда]</w:t>
      </w:r>
    </w:p>
    <w:p>
      <w:pPr>
        <w:spacing w:before="0" w:after="20" w:line="240" w:lineRule="auto"/>
        <w:ind w:left="4819"/>
        <w:jc w:val="left"/>
      </w:pPr>
      <w:r>
        <w:rPr>
          <w:rFonts w:ascii="Times New Roman" w:hAnsi="Times New Roman" w:eastAsia="Times New Roman"/>
          <w:b w:val="0"/>
          <w:i w:val="0"/>
          <w:color w:val="1A1A1A"/>
          <w:sz w:val="24"/>
        </w:rPr>
        <w:t>[адрес суда]</w:t>
      </w:r>
    </w:p>
    <w:p>
      <w:pPr>
        <w:spacing w:before="0" w:after="20" w:line="240" w:lineRule="auto"/>
        <w:ind w:left="4819"/>
        <w:jc w:val="left"/>
      </w:pPr>
      <w:r>
        <w:rPr>
          <w:rFonts w:ascii="Times New Roman" w:hAnsi="Times New Roman" w:eastAsia="Times New Roman"/>
          <w:b w:val="0"/>
          <w:i w:val="0"/>
          <w:color w:val="1A1A1A"/>
          <w:sz w:val="24"/>
        </w:rPr>
        <w:t xml:space="preserve">дело № </w:t>
      </w:r>
      <w:r>
        <w:rPr>
          <w:rFonts w:ascii="Times New Roman" w:hAnsi="Times New Roman" w:eastAsia="Times New Roman"/>
          <w:b w:val="0"/>
          <w:i w:val="0"/>
          <w:color w:val="1A1A1A"/>
          <w:sz w:val="24"/>
        </w:rPr>
        <w:t>[номер дела]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Ответчик:</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[телефон]</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Истец:</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с индексом]</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Цена иска: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руб.</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Возражение</w:t>
      </w:r>
    </w:p>
    <w:p>
      <w:pPr>
        <w:spacing w:before="0" w:after="80" w:line="240" w:lineRule="auto"/>
        <w:jc w:val="center"/>
      </w:pPr>
      <w:r>
        <w:rPr>
          <w:rFonts w:ascii="Times New Roman" w:hAnsi="Times New Roman" w:eastAsia="Times New Roman"/>
          <w:b w:val="0"/>
          <w:i/>
          <w:color w:val="1A1A1A"/>
          <w:sz w:val="24"/>
        </w:rPr>
        <w:t>на исковое заявление о взыскании неосновательного обогащения</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[ФИО истца]</w:t>
      </w:r>
      <w:r>
        <w:rPr>
          <w:rFonts w:ascii="Times New Roman" w:hAnsi="Times New Roman" w:eastAsia="Times New Roman"/>
          <w:b w:val="0"/>
          <w:i w:val="0"/>
          <w:color w:val="1A1A1A"/>
          <w:sz w:val="24"/>
        </w:rPr>
        <w:t xml:space="preserve"> обратился(лась) в суд с иском ко мне о взыскании неосновательного обогащения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руб., процентов за пользование чужими денежными средствами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руб. и судебных расходов. В обоснование иска указано, что истец перевёл мне денежные средства без каких-либо оснований.</w:t>
      </w:r>
    </w:p>
    <w:p>
      <w:pPr>
        <w:spacing w:before="0" w:after="120" w:line="276" w:lineRule="auto"/>
        <w:ind w:firstLine="709"/>
        <w:jc w:val="both"/>
      </w:pPr>
      <w:r>
        <w:rPr>
          <w:rFonts w:ascii="Times New Roman" w:hAnsi="Times New Roman" w:eastAsia="Times New Roman"/>
          <w:b w:val="0"/>
          <w:i w:val="0"/>
          <w:color w:val="1A1A1A"/>
          <w:sz w:val="24"/>
        </w:rPr>
        <w:t>С исковыми требованиями не согласен(на) полностью по следующим основаниям.</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1. Денежные средства получены по основанию, установленному сделкой</w:t>
      </w:r>
    </w:p>
    <w:p>
      <w:pPr>
        <w:tabs>
          <w:tab w:pos="1191" w:val="left"/>
        </w:tabs>
        <w:spacing w:before="0" w:after="80" w:line="276" w:lineRule="auto"/>
        <w:ind w:left="1191" w:hanging="680"/>
        <w:jc w:val="both"/>
      </w:pPr>
      <w:r>
        <w:rPr>
          <w:rFonts w:ascii="Times New Roman" w:hAnsi="Times New Roman" w:eastAsia="Times New Roman"/>
          <w:b w:val="0"/>
          <w:color w:val="1A1A1A"/>
          <w:sz w:val="24"/>
        </w:rPr>
        <w:t>1.1.</w:t>
        <w:tab/>
      </w:r>
      <w:r>
        <w:rPr>
          <w:rFonts w:ascii="Times New Roman" w:hAnsi="Times New Roman" w:eastAsia="Times New Roman"/>
          <w:b w:val="0"/>
          <w:i w:val="0"/>
          <w:color w:val="1A1A1A"/>
          <w:sz w:val="24"/>
        </w:rPr>
        <w:t xml:space="preserve">В </w:t>
      </w:r>
      <w:r>
        <w:rPr>
          <w:rFonts w:ascii="Times New Roman" w:hAnsi="Times New Roman" w:eastAsia="Times New Roman"/>
          <w:b w:val="0"/>
          <w:i w:val="0"/>
          <w:color w:val="1A1A1A"/>
          <w:sz w:val="24"/>
        </w:rPr>
        <w:t>[месяц, год]</w:t>
      </w:r>
      <w:r>
        <w:rPr>
          <w:rFonts w:ascii="Times New Roman" w:hAnsi="Times New Roman" w:eastAsia="Times New Roman"/>
          <w:b w:val="0"/>
          <w:i w:val="0"/>
          <w:color w:val="1A1A1A"/>
          <w:sz w:val="24"/>
        </w:rPr>
        <w:t xml:space="preserve"> г. между мной и истцом была достигнута устная договорённость о том, что я </w:t>
      </w:r>
      <w:r>
        <w:rPr>
          <w:rFonts w:ascii="Times New Roman" w:hAnsi="Times New Roman" w:eastAsia="Times New Roman"/>
          <w:b w:val="0"/>
          <w:i w:val="0"/>
          <w:color w:val="1A1A1A"/>
          <w:sz w:val="24"/>
        </w:rPr>
        <w:t>[выполню работы или окажу услуги: описание]</w:t>
      </w:r>
      <w:r>
        <w:rPr>
          <w:rFonts w:ascii="Times New Roman" w:hAnsi="Times New Roman" w:eastAsia="Times New Roman"/>
          <w:b w:val="0"/>
          <w:i w:val="0"/>
          <w:color w:val="1A1A1A"/>
          <w:sz w:val="24"/>
        </w:rPr>
        <w:t xml:space="preserve"> по адресу: </w:t>
      </w:r>
      <w:r>
        <w:rPr>
          <w:rFonts w:ascii="Times New Roman" w:hAnsi="Times New Roman" w:eastAsia="Times New Roman"/>
          <w:b w:val="0"/>
          <w:i w:val="0"/>
          <w:color w:val="1A1A1A"/>
          <w:sz w:val="24"/>
        </w:rPr>
        <w:t>[адрес объекта]</w:t>
      </w:r>
      <w:r>
        <w:rPr>
          <w:rFonts w:ascii="Times New Roman" w:hAnsi="Times New Roman" w:eastAsia="Times New Roman"/>
          <w:b w:val="0"/>
          <w:i w:val="0"/>
          <w:color w:val="1A1A1A"/>
          <w:sz w:val="24"/>
        </w:rPr>
        <w:t xml:space="preserve">, а истец оплатит их стоимость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руб. частями по мере выполнения.</w:t>
      </w:r>
    </w:p>
    <w:p>
      <w:pPr>
        <w:tabs>
          <w:tab w:pos="1191" w:val="left"/>
        </w:tabs>
        <w:spacing w:before="0" w:after="80" w:line="276" w:lineRule="auto"/>
        <w:ind w:left="1191" w:hanging="680"/>
        <w:jc w:val="both"/>
      </w:pPr>
      <w:r>
        <w:rPr>
          <w:rFonts w:ascii="Times New Roman" w:hAnsi="Times New Roman" w:eastAsia="Times New Roman"/>
          <w:b w:val="0"/>
          <w:color w:val="1A1A1A"/>
          <w:sz w:val="24"/>
        </w:rPr>
        <w:t>1.2.</w:t>
        <w:tab/>
      </w:r>
      <w:r>
        <w:rPr>
          <w:rFonts w:ascii="Times New Roman" w:hAnsi="Times New Roman" w:eastAsia="Times New Roman"/>
          <w:b w:val="0"/>
          <w:i w:val="0"/>
          <w:color w:val="1A1A1A"/>
          <w:sz w:val="24"/>
        </w:rPr>
        <w:t xml:space="preserve">Работы выполнены мной в период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по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и приняты истцом без замечаний. Претензий по объёму и качеству работ истец до подачи иска не заявлял.</w:t>
      </w:r>
    </w:p>
    <w:p>
      <w:pPr>
        <w:tabs>
          <w:tab w:pos="1191" w:val="left"/>
        </w:tabs>
        <w:spacing w:before="0" w:after="80" w:line="276" w:lineRule="auto"/>
        <w:ind w:left="1191" w:hanging="680"/>
        <w:jc w:val="both"/>
      </w:pPr>
      <w:r>
        <w:rPr>
          <w:rFonts w:ascii="Times New Roman" w:hAnsi="Times New Roman" w:eastAsia="Times New Roman"/>
          <w:b w:val="0"/>
          <w:color w:val="1A1A1A"/>
          <w:sz w:val="24"/>
        </w:rPr>
        <w:t>1.3.</w:t>
        <w:tab/>
      </w:r>
      <w:r>
        <w:rPr>
          <w:rFonts w:ascii="Times New Roman" w:hAnsi="Times New Roman" w:eastAsia="Times New Roman"/>
          <w:b w:val="0"/>
          <w:i w:val="0"/>
          <w:color w:val="1A1A1A"/>
          <w:sz w:val="24"/>
        </w:rPr>
        <w:t>Денежные средства, указанные в иске, перечислены истцом в оплату этих работ, что подтверждается:</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перепиской в мессенджере </w:t>
      </w:r>
      <w:r>
        <w:rPr>
          <w:rFonts w:ascii="Times New Roman" w:hAnsi="Times New Roman" w:eastAsia="Times New Roman"/>
          <w:b w:val="0"/>
          <w:i w:val="0"/>
          <w:color w:val="1A1A1A"/>
          <w:sz w:val="24"/>
        </w:rPr>
        <w:t>[название мессенджера]</w:t>
      </w:r>
      <w:r>
        <w:rPr>
          <w:rFonts w:ascii="Times New Roman" w:hAnsi="Times New Roman" w:eastAsia="Times New Roman"/>
          <w:b w:val="0"/>
          <w:i w:val="0"/>
          <w:color w:val="1A1A1A"/>
          <w:sz w:val="24"/>
        </w:rPr>
        <w:t xml:space="preserve"> за период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по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в которой стороны обсуждают объём работ, их стоимость и сроки оплаты;</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фотографиями выполненных работ;</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чеками на приобретение материалов;</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показаниями свидетеля </w:t>
      </w:r>
      <w:r>
        <w:rPr>
          <w:rFonts w:ascii="Times New Roman" w:hAnsi="Times New Roman" w:eastAsia="Times New Roman"/>
          <w:b w:val="0"/>
          <w:i w:val="0"/>
          <w:color w:val="1A1A1A"/>
          <w:sz w:val="24"/>
        </w:rPr>
        <w:t>[ФИО свидетеля]</w:t>
      </w:r>
      <w:r>
        <w:rPr>
          <w:rFonts w:ascii="Times New Roman" w:hAnsi="Times New Roman" w:eastAsia="Times New Roman"/>
          <w:b w:val="0"/>
          <w:i w:val="0"/>
          <w:color w:val="1A1A1A"/>
          <w:sz w:val="24"/>
        </w:rPr>
        <w:t>.</w:t>
      </w:r>
    </w:p>
    <w:p>
      <w:pPr>
        <w:tabs>
          <w:tab w:pos="1191" w:val="left"/>
        </w:tabs>
        <w:spacing w:before="0" w:after="80" w:line="276" w:lineRule="auto"/>
        <w:ind w:left="1191" w:hanging="680"/>
        <w:jc w:val="both"/>
      </w:pPr>
      <w:r>
        <w:rPr>
          <w:rFonts w:ascii="Times New Roman" w:hAnsi="Times New Roman" w:eastAsia="Times New Roman"/>
          <w:b w:val="0"/>
          <w:color w:val="1A1A1A"/>
          <w:sz w:val="24"/>
        </w:rPr>
        <w:t>1.4.</w:t>
        <w:tab/>
      </w:r>
      <w:r>
        <w:rPr>
          <w:rFonts w:ascii="Times New Roman" w:hAnsi="Times New Roman" w:eastAsia="Times New Roman"/>
          <w:b w:val="0"/>
          <w:i w:val="0"/>
          <w:color w:val="1A1A1A"/>
          <w:sz w:val="24"/>
        </w:rPr>
        <w:t>Согласно пункту 1 статьи 1102 Гражданского кодекса РФ (далее — ГК РФ) неосновательным обогащением признаётся имущество, приобретённое без оснований, установленных законом, иными правовыми актами или сделкой. Полученные мной денежные средства являются оплатой по договору, поэтому неосновательным обогащением не являются. Несоблюдение простой письменной формы сделки не влечёт её недействительности и не лишает стороны права приводить письменные и другие доказательства её заключения и исполнения (пункт 1 статьи 162 ГК РФ).</w:t>
      </w:r>
    </w:p>
    <w:p>
      <w:pPr>
        <w:tabs>
          <w:tab w:pos="1191" w:val="left"/>
        </w:tabs>
        <w:spacing w:before="0" w:after="80" w:line="276" w:lineRule="auto"/>
        <w:ind w:left="1191" w:hanging="680"/>
        <w:jc w:val="both"/>
      </w:pPr>
      <w:r>
        <w:rPr>
          <w:rFonts w:ascii="Times New Roman" w:hAnsi="Times New Roman" w:eastAsia="Times New Roman"/>
          <w:b w:val="0"/>
          <w:color w:val="1A1A1A"/>
          <w:sz w:val="24"/>
        </w:rPr>
        <w:t>1.5.</w:t>
        <w:tab/>
      </w:r>
      <w:r>
        <w:rPr>
          <w:rFonts w:ascii="Times New Roman" w:hAnsi="Times New Roman" w:eastAsia="Times New Roman"/>
          <w:b w:val="0"/>
          <w:i w:val="0"/>
          <w:color w:val="1A1A1A"/>
          <w:sz w:val="24"/>
        </w:rPr>
        <w:t>Поскольку требование истца по существу направлено на возврат исполненного в связи с обязательством, к отношениям сторон в первую очередь применяются правила о договоре (статья 1103 ГК РФ). Истец не ссылается на невыполнение или ненадлежащее выполнение работ и соответствующих доказательств не представил.</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2. Сведения о перечислениях</w:t>
      </w: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1212"/>
        <w:gridCol w:w="1905"/>
        <w:gridCol w:w="3638"/>
        <w:gridCol w:w="2598"/>
      </w:tblGrid>
      <w:tr>
        <w:trPr>
          <w:cantSplit/>
        </w:trPr>
        <w:tc>
          <w:tcPr>
            <w:tcW w:type="dxa" w:w="1213"/>
          </w:tcPr>
          <w:p>
            <w:pPr>
              <w:keepNext/>
              <w:spacing w:before="0" w:after="20" w:line="240" w:lineRule="auto"/>
              <w:jc w:val="left"/>
            </w:pPr>
            <w:r/>
            <w:r>
              <w:rPr>
                <w:rFonts w:ascii="Times New Roman" w:hAnsi="Times New Roman" w:eastAsia="Times New Roman"/>
                <w:b/>
                <w:i w:val="0"/>
                <w:color w:val="1A1A1A"/>
                <w:sz w:val="22"/>
              </w:rPr>
              <w:t>Дата</w:t>
            </w:r>
          </w:p>
        </w:tc>
        <w:tc>
          <w:tcPr>
            <w:tcW w:type="dxa" w:w="1906"/>
          </w:tcPr>
          <w:p>
            <w:pPr>
              <w:keepNext/>
              <w:spacing w:before="0" w:after="20" w:line="240" w:lineRule="auto"/>
              <w:jc w:val="left"/>
            </w:pPr>
            <w:r/>
            <w:r>
              <w:rPr>
                <w:rFonts w:ascii="Times New Roman" w:hAnsi="Times New Roman" w:eastAsia="Times New Roman"/>
                <w:b/>
                <w:i w:val="0"/>
                <w:color w:val="1A1A1A"/>
                <w:sz w:val="22"/>
              </w:rPr>
              <w:t>Сумма, руб.</w:t>
            </w:r>
          </w:p>
        </w:tc>
        <w:tc>
          <w:tcPr>
            <w:tcW w:type="dxa" w:w="3638"/>
          </w:tcPr>
          <w:p>
            <w:pPr>
              <w:keepNext/>
              <w:spacing w:before="0" w:after="20" w:line="240" w:lineRule="auto"/>
              <w:jc w:val="left"/>
            </w:pPr>
            <w:r/>
            <w:r>
              <w:rPr>
                <w:rFonts w:ascii="Times New Roman" w:hAnsi="Times New Roman" w:eastAsia="Times New Roman"/>
                <w:b/>
                <w:i w:val="0"/>
                <w:color w:val="1A1A1A"/>
                <w:sz w:val="22"/>
              </w:rPr>
              <w:t>Назначение по выписке</w:t>
            </w:r>
          </w:p>
        </w:tc>
        <w:tc>
          <w:tcPr>
            <w:tcW w:type="dxa" w:w="2599"/>
          </w:tcPr>
          <w:p>
            <w:pPr>
              <w:keepNext/>
              <w:spacing w:before="0" w:after="20" w:line="240" w:lineRule="auto"/>
              <w:jc w:val="left"/>
            </w:pPr>
            <w:r/>
            <w:r>
              <w:rPr>
                <w:rFonts w:ascii="Times New Roman" w:hAnsi="Times New Roman" w:eastAsia="Times New Roman"/>
                <w:b/>
                <w:i w:val="0"/>
                <w:color w:val="1A1A1A"/>
                <w:sz w:val="22"/>
              </w:rPr>
              <w:t>За что получено</w:t>
            </w:r>
          </w:p>
        </w:tc>
      </w:tr>
      <w:tr>
        <w:trPr>
          <w:cantSplit/>
        </w:trPr>
        <w:tc>
          <w:tcPr>
            <w:tcW w:type="dxa" w:w="1213"/>
          </w:tcPr>
          <w:p>
            <w:pPr>
              <w:keepNext/>
              <w:spacing w:before="0" w:after="20" w:line="240" w:lineRule="auto"/>
              <w:jc w:val="left"/>
            </w:pPr>
            <w:r/>
            <w:r>
              <w:rPr>
                <w:rFonts w:ascii="Times New Roman" w:hAnsi="Times New Roman" w:eastAsia="Times New Roman"/>
                <w:b w:val="0"/>
                <w:i w:val="0"/>
                <w:color w:val="1A1A1A"/>
                <w:sz w:val="22"/>
              </w:rPr>
              <w:t>[дата]</w:t>
            </w:r>
          </w:p>
        </w:tc>
        <w:tc>
          <w:tcPr>
            <w:tcW w:type="dxa" w:w="1906"/>
          </w:tcPr>
          <w:p>
            <w:pPr>
              <w:keepNext/>
              <w:spacing w:before="0" w:after="20" w:line="240" w:lineRule="auto"/>
              <w:jc w:val="left"/>
            </w:pPr>
            <w:r/>
            <w:r>
              <w:rPr>
                <w:rFonts w:ascii="Times New Roman" w:hAnsi="Times New Roman" w:eastAsia="Times New Roman"/>
                <w:b w:val="0"/>
                <w:i w:val="0"/>
                <w:color w:val="1A1A1A"/>
                <w:sz w:val="22"/>
              </w:rPr>
              <w:t>[сумма]</w:t>
            </w:r>
          </w:p>
        </w:tc>
        <w:tc>
          <w:tcPr>
            <w:tcW w:type="dxa" w:w="3638"/>
          </w:tcPr>
          <w:p>
            <w:pPr>
              <w:keepNext/>
              <w:spacing w:before="0" w:after="20" w:line="240" w:lineRule="auto"/>
              <w:jc w:val="left"/>
            </w:pPr>
            <w:r/>
            <w:r>
              <w:rPr>
                <w:rFonts w:ascii="Times New Roman" w:hAnsi="Times New Roman" w:eastAsia="Times New Roman"/>
                <w:b w:val="0"/>
                <w:i w:val="0"/>
                <w:color w:val="1A1A1A"/>
                <w:sz w:val="22"/>
              </w:rPr>
              <w:t>[назначение]</w:t>
            </w:r>
          </w:p>
        </w:tc>
        <w:tc>
          <w:tcPr>
            <w:tcW w:type="dxa" w:w="2599"/>
          </w:tcPr>
          <w:p>
            <w:pPr>
              <w:keepNext/>
              <w:spacing w:before="0" w:after="20" w:line="240" w:lineRule="auto"/>
              <w:jc w:val="left"/>
            </w:pPr>
            <w:r/>
            <w:r>
              <w:rPr>
                <w:rFonts w:ascii="Times New Roman" w:hAnsi="Times New Roman" w:eastAsia="Times New Roman"/>
                <w:b w:val="0"/>
                <w:i w:val="0"/>
                <w:color w:val="1A1A1A"/>
                <w:sz w:val="22"/>
              </w:rPr>
              <w:t>[этап работ]</w:t>
            </w:r>
          </w:p>
        </w:tc>
      </w:tr>
      <w:tr>
        <w:trPr>
          <w:cantSplit/>
        </w:trPr>
        <w:tc>
          <w:tcPr>
            <w:tcW w:type="dxa" w:w="1213"/>
          </w:tcPr>
          <w:p>
            <w:pPr>
              <w:keepNext/>
              <w:spacing w:before="0" w:after="20" w:line="240" w:lineRule="auto"/>
              <w:jc w:val="left"/>
            </w:pPr>
            <w:r/>
            <w:r>
              <w:rPr>
                <w:rFonts w:ascii="Times New Roman" w:hAnsi="Times New Roman" w:eastAsia="Times New Roman"/>
                <w:b w:val="0"/>
                <w:i w:val="0"/>
                <w:color w:val="1A1A1A"/>
                <w:sz w:val="22"/>
              </w:rPr>
              <w:t>[дата]</w:t>
            </w:r>
          </w:p>
        </w:tc>
        <w:tc>
          <w:tcPr>
            <w:tcW w:type="dxa" w:w="1906"/>
          </w:tcPr>
          <w:p>
            <w:pPr>
              <w:keepNext/>
              <w:spacing w:before="0" w:after="20" w:line="240" w:lineRule="auto"/>
              <w:jc w:val="left"/>
            </w:pPr>
            <w:r/>
            <w:r>
              <w:rPr>
                <w:rFonts w:ascii="Times New Roman" w:hAnsi="Times New Roman" w:eastAsia="Times New Roman"/>
                <w:b w:val="0"/>
                <w:i w:val="0"/>
                <w:color w:val="1A1A1A"/>
                <w:sz w:val="22"/>
              </w:rPr>
              <w:t>[сумма]</w:t>
            </w:r>
          </w:p>
        </w:tc>
        <w:tc>
          <w:tcPr>
            <w:tcW w:type="dxa" w:w="3638"/>
          </w:tcPr>
          <w:p>
            <w:pPr>
              <w:keepNext/>
              <w:spacing w:before="0" w:after="20" w:line="240" w:lineRule="auto"/>
              <w:jc w:val="left"/>
            </w:pPr>
            <w:r/>
            <w:r>
              <w:rPr>
                <w:rFonts w:ascii="Times New Roman" w:hAnsi="Times New Roman" w:eastAsia="Times New Roman"/>
                <w:b w:val="0"/>
                <w:i w:val="0"/>
                <w:color w:val="1A1A1A"/>
                <w:sz w:val="22"/>
              </w:rPr>
              <w:t>[назначение]</w:t>
            </w:r>
          </w:p>
        </w:tc>
        <w:tc>
          <w:tcPr>
            <w:tcW w:type="dxa" w:w="2599"/>
          </w:tcPr>
          <w:p>
            <w:pPr>
              <w:keepNext/>
              <w:spacing w:before="0" w:after="20" w:line="240" w:lineRule="auto"/>
              <w:jc w:val="left"/>
            </w:pPr>
            <w:r/>
            <w:r>
              <w:rPr>
                <w:rFonts w:ascii="Times New Roman" w:hAnsi="Times New Roman" w:eastAsia="Times New Roman"/>
                <w:b w:val="0"/>
                <w:i w:val="0"/>
                <w:color w:val="1A1A1A"/>
                <w:sz w:val="22"/>
              </w:rPr>
              <w:t>[этап работ]</w:t>
            </w:r>
          </w:p>
        </w:tc>
      </w:tr>
      <w:tr>
        <w:trPr>
          <w:cantSplit/>
        </w:trPr>
        <w:tc>
          <w:tcPr>
            <w:tcW w:type="dxa" w:w="1213"/>
          </w:tcPr>
          <w:p>
            <w:pPr>
              <w:keepNext/>
              <w:spacing w:before="0" w:after="20" w:line="240" w:lineRule="auto"/>
              <w:jc w:val="left"/>
            </w:pPr>
            <w:r/>
            <w:r>
              <w:rPr>
                <w:rFonts w:ascii="Times New Roman" w:hAnsi="Times New Roman" w:eastAsia="Times New Roman"/>
                <w:b w:val="0"/>
                <w:i w:val="0"/>
                <w:color w:val="1A1A1A"/>
                <w:sz w:val="22"/>
              </w:rPr>
              <w:t>[дата]</w:t>
            </w:r>
          </w:p>
        </w:tc>
        <w:tc>
          <w:tcPr>
            <w:tcW w:type="dxa" w:w="1906"/>
          </w:tcPr>
          <w:p>
            <w:pPr>
              <w:keepNext/>
              <w:spacing w:before="0" w:after="20" w:line="240" w:lineRule="auto"/>
              <w:jc w:val="left"/>
            </w:pPr>
            <w:r/>
            <w:r>
              <w:rPr>
                <w:rFonts w:ascii="Times New Roman" w:hAnsi="Times New Roman" w:eastAsia="Times New Roman"/>
                <w:b w:val="0"/>
                <w:i w:val="0"/>
                <w:color w:val="1A1A1A"/>
                <w:sz w:val="22"/>
              </w:rPr>
              <w:t>[сумма]</w:t>
            </w:r>
          </w:p>
        </w:tc>
        <w:tc>
          <w:tcPr>
            <w:tcW w:type="dxa" w:w="3638"/>
          </w:tcPr>
          <w:p>
            <w:pPr>
              <w:keepNext/>
              <w:spacing w:before="0" w:after="20" w:line="240" w:lineRule="auto"/>
              <w:jc w:val="left"/>
            </w:pPr>
            <w:r/>
            <w:r>
              <w:rPr>
                <w:rFonts w:ascii="Times New Roman" w:hAnsi="Times New Roman" w:eastAsia="Times New Roman"/>
                <w:b w:val="0"/>
                <w:i w:val="0"/>
                <w:color w:val="1A1A1A"/>
                <w:sz w:val="22"/>
              </w:rPr>
              <w:t>[назначение]</w:t>
            </w:r>
          </w:p>
        </w:tc>
        <w:tc>
          <w:tcPr>
            <w:tcW w:type="dxa" w:w="2599"/>
          </w:tcPr>
          <w:p>
            <w:pPr>
              <w:keepNext/>
              <w:spacing w:before="0" w:after="20" w:line="240" w:lineRule="auto"/>
              <w:jc w:val="left"/>
            </w:pPr>
            <w:r/>
            <w:r>
              <w:rPr>
                <w:rFonts w:ascii="Times New Roman" w:hAnsi="Times New Roman" w:eastAsia="Times New Roman"/>
                <w:b w:val="0"/>
                <w:i w:val="0"/>
                <w:color w:val="1A1A1A"/>
                <w:sz w:val="22"/>
              </w:rPr>
              <w:t>[этап работ]</w:t>
            </w:r>
          </w:p>
        </w:tc>
      </w:tr>
      <w:tr>
        <w:trPr>
          <w:cantSplit/>
        </w:trPr>
        <w:tc>
          <w:tcPr>
            <w:tcW w:type="dxa" w:w="1213"/>
          </w:tcPr>
          <w:p>
            <w:pPr>
              <w:spacing w:before="0" w:after="20" w:line="240" w:lineRule="auto"/>
              <w:jc w:val="left"/>
            </w:pPr>
            <w:r/>
            <w:r>
              <w:rPr>
                <w:rFonts w:ascii="Times New Roman" w:hAnsi="Times New Roman" w:eastAsia="Times New Roman"/>
                <w:b/>
                <w:i w:val="0"/>
                <w:color w:val="1A1A1A"/>
                <w:sz w:val="22"/>
              </w:rPr>
              <w:t>Итого</w:t>
            </w:r>
          </w:p>
        </w:tc>
        <w:tc>
          <w:tcPr>
            <w:tcW w:type="dxa" w:w="1906"/>
          </w:tcPr>
          <w:p>
            <w:pPr>
              <w:spacing w:before="0" w:after="20" w:line="240" w:lineRule="auto"/>
              <w:jc w:val="left"/>
            </w:pPr>
            <w:r/>
            <w:r>
              <w:rPr>
                <w:rFonts w:ascii="Times New Roman" w:hAnsi="Times New Roman" w:eastAsia="Times New Roman"/>
                <w:b/>
                <w:i w:val="0"/>
                <w:color w:val="1A1A1A"/>
                <w:sz w:val="22"/>
              </w:rPr>
              <w:t>[сумма]</w:t>
            </w:r>
          </w:p>
        </w:tc>
        <w:tc>
          <w:tcPr>
            <w:tcW w:type="dxa" w:w="3638"/>
          </w:tcPr>
          <w:p>
            <w:pPr>
              <w:spacing w:before="0" w:after="20" w:line="240" w:lineRule="auto"/>
              <w:jc w:val="left"/>
            </w:pPr>
            <w:r/>
          </w:p>
        </w:tc>
        <w:tc>
          <w:tcPr>
            <w:tcW w:type="dxa" w:w="2599"/>
          </w:tcPr>
          <w:p>
            <w:pPr>
              <w:spacing w:before="0" w:after="20" w:line="240" w:lineRule="auto"/>
              <w:jc w:val="left"/>
            </w:pPr>
            <w:r/>
          </w:p>
        </w:tc>
      </w:tr>
    </w:tbl>
    <w:p>
      <w:pPr>
        <w:spacing w:before="0" w:after="80" w:line="276" w:lineRule="auto"/>
        <w:jc w:val="both"/>
      </w:pP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3. Денежные средства не подлежат возврату и в силу статьи 1109 ГК РФ</w:t>
      </w:r>
    </w:p>
    <w:p>
      <w:pPr>
        <w:spacing w:before="0" w:after="120" w:line="276" w:lineRule="auto"/>
        <w:ind w:firstLine="709"/>
        <w:jc w:val="both"/>
      </w:pPr>
      <w:r>
        <w:rPr>
          <w:rFonts w:ascii="Times New Roman" w:hAnsi="Times New Roman" w:eastAsia="Times New Roman"/>
          <w:b w:val="0"/>
          <w:i w:val="0"/>
          <w:color w:val="1A1A1A"/>
          <w:sz w:val="24"/>
        </w:rPr>
        <w:t xml:space="preserve">Даже если суд придёт к выводу, что договор между сторонами не заключён, истец не вправе требовать возврата денег. Переводы совершались истцом добровольно, неоднократно, в течение </w:t>
      </w:r>
      <w:r>
        <w:rPr>
          <w:rFonts w:ascii="Times New Roman" w:hAnsi="Times New Roman" w:eastAsia="Times New Roman"/>
          <w:b w:val="0"/>
          <w:i w:val="0"/>
          <w:color w:val="1A1A1A"/>
          <w:sz w:val="24"/>
        </w:rPr>
        <w:t>[срок]</w:t>
      </w:r>
      <w:r>
        <w:rPr>
          <w:rFonts w:ascii="Times New Roman" w:hAnsi="Times New Roman" w:eastAsia="Times New Roman"/>
          <w:b w:val="0"/>
          <w:i w:val="0"/>
          <w:color w:val="1A1A1A"/>
          <w:sz w:val="24"/>
        </w:rPr>
        <w:t xml:space="preserve"> и с одинаковыми реквизитами получателя, что исключает ошибку; истцу было известно, что иных обязательств передо мной у него нет. В соответствии с подпунктом 4 статьи 1109 ГК РФ не подлежат возврату денежные суммы, предоставленные во исполнение несуществующего обязательства, если приобретатель докажет, что лицо, требующее возврата, знало об отсутствии обязательства.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4. Распределение бремени доказывания</w:t>
      </w:r>
    </w:p>
    <w:p>
      <w:pPr>
        <w:spacing w:before="0" w:after="120" w:line="276" w:lineRule="auto"/>
        <w:ind w:firstLine="709"/>
        <w:jc w:val="both"/>
      </w:pPr>
      <w:r>
        <w:rPr>
          <w:rFonts w:ascii="Times New Roman" w:hAnsi="Times New Roman" w:eastAsia="Times New Roman"/>
          <w:b w:val="0"/>
          <w:i w:val="0"/>
          <w:color w:val="1A1A1A"/>
          <w:sz w:val="24"/>
        </w:rPr>
        <w:t>По делам о взыскании неосновательного обогащения на истце лежит обязанность доказать факт приобретения или сбережения имущества ответчиком за счёт истца, а на ответчике — наличие оснований для получения денежных средств либо обстоятельств, в силу которых они не подлежат возврату (часть 1 статьи 56 Гражданского процессуального кодекса РФ). Основание получения денежных средств мной доказано представленными документами. Поскольку неосновательного обогащения нет, не подлежат удовлетворению и производные требования о взыскании процентов по статье 395 ГК РФ.</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руководствуясь статьями 1102, 1103, 1109 ГК РФ, статьями 56, 149 ГПК РФ, </w:t>
      </w:r>
      <w:r>
        <w:rPr>
          <w:rFonts w:ascii="Times New Roman" w:hAnsi="Times New Roman" w:eastAsia="Times New Roman"/>
          <w:b/>
          <w:i w:val="0"/>
          <w:color w:val="1A1A1A"/>
          <w:sz w:val="24"/>
        </w:rPr>
        <w:t>прошу:</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Отказать </w:t>
      </w:r>
      <w:r>
        <w:rPr>
          <w:rFonts w:ascii="Times New Roman" w:hAnsi="Times New Roman" w:eastAsia="Times New Roman"/>
          <w:b w:val="0"/>
          <w:i w:val="0"/>
          <w:color w:val="1A1A1A"/>
          <w:sz w:val="24"/>
        </w:rPr>
        <w:t>[ФИО истца]</w:t>
      </w:r>
      <w:r>
        <w:rPr>
          <w:rFonts w:ascii="Times New Roman" w:hAnsi="Times New Roman" w:eastAsia="Times New Roman"/>
          <w:b w:val="0"/>
          <w:i w:val="0"/>
          <w:color w:val="1A1A1A"/>
          <w:sz w:val="24"/>
        </w:rPr>
        <w:t xml:space="preserve"> в удовлетворении исковых требований в полном объёме.</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Приобщить к материалам дела настоящее возражение и приложенные документы.</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Вызвать и допросить в качестве свидетеля </w:t>
      </w:r>
      <w:r>
        <w:rPr>
          <w:rFonts w:ascii="Times New Roman" w:hAnsi="Times New Roman" w:eastAsia="Times New Roman"/>
          <w:b w:val="0"/>
          <w:i w:val="0"/>
          <w:color w:val="1A1A1A"/>
          <w:sz w:val="24"/>
        </w:rPr>
        <w:t>[ФИО свидетеля]</w:t>
      </w:r>
      <w:r>
        <w:rPr>
          <w:rFonts w:ascii="Times New Roman" w:hAnsi="Times New Roman" w:eastAsia="Times New Roman"/>
          <w:b w:val="0"/>
          <w:i w:val="0"/>
          <w:color w:val="1A1A1A"/>
          <w:sz w:val="24"/>
        </w:rPr>
        <w:t xml:space="preserve">, проживающего(ую) по адресу: </w:t>
      </w:r>
      <w:r>
        <w:rPr>
          <w:rFonts w:ascii="Times New Roman" w:hAnsi="Times New Roman" w:eastAsia="Times New Roman"/>
          <w:b w:val="0"/>
          <w:i w:val="0"/>
          <w:color w:val="1A1A1A"/>
          <w:sz w:val="24"/>
        </w:rPr>
        <w:t>[адрес]</w:t>
      </w:r>
      <w:r>
        <w:rPr>
          <w:rFonts w:ascii="Times New Roman" w:hAnsi="Times New Roman" w:eastAsia="Times New Roman"/>
          <w:b w:val="0"/>
          <w:i w:val="0"/>
          <w:color w:val="1A1A1A"/>
          <w:sz w:val="24"/>
        </w:rPr>
        <w:t>.</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Скриншоты переписки с истцом за период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по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на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л.</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Фотографии выполненных работ на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л.</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Копии чеков на материалы на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л.</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 xml:space="preserve">Выписка по банковскому счёту (карте) за период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по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Документ, подтверждающий направление копии возражения истцу.</w:t>
      </w:r>
    </w:p>
    <w:p>
      <w:pPr>
        <w:tabs>
          <w:tab w:pos="9354" w:val="right"/>
        </w:tabs>
        <w:spacing w:before="0" w:after="200" w:line="276" w:lineRule="auto"/>
        <w:jc w:val="left"/>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r>
        <w:tab/>
      </w: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Если часть переводов сделана более трёх лет назад до подачи иска, отдельно заявите о пропуске срока исковой давности (статьи 196, 199 ГК РФ): суд не применит его без заявления ответчика.</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Возражение ответчика на иск о взыскании неосновательного обогащения (переводы в оплату работ по устной договорённости)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