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000000"/>
          <w:sz w:val="30"/>
          <w:spacing w:val="30"/>
        </w:rPr>
        <w:t>Договор № [номер]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1A1A1A"/>
          <w:sz w:val="24"/>
        </w:rPr>
        <w:t>на организацию и проведение мероприятия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000000"/>
          <w:sz w:val="18"/>
        </w:rPr>
        <w:t>━━━━━━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г.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[город]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[Полное наименование заказчика]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(ОГРН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[ОГРН]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ИНН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[ИНН]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), в лице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[должность]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действующего на основании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[документ о полномочиях]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(далее — Заказчик), с одной стороны, и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[Полное наименование исполнителя или ФИО индивидуального предпринимателя]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(ОГРН/ОГРНИП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ИНН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[ИНН]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), в лице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[должность]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действующего на основании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[документ о полномочиях]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(далее — Исполнитель), с другой стороны,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вместе именуемые Стороны, заключили настоящий договор о нижеследующем.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1. Предмет договора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Исполнитель обязуется по заданию Заказчика оказать услуги по организации и проведению мероприятия, а Заказчик обязуется принять и оплатить эти услуги.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Параметры мероприятия: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4677"/>
        <w:gridCol w:w="4677"/>
      </w:tblGrid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Параметр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Значение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Название и формат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[например, корпоративный новогодний вечер]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Дата и время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[дата]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г., с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[время]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до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[время]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Место проведения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[наименование площадки, адрес]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Количество гостей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[количество]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человек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Контактное лицо Заказчика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[ФИО, телефон, e-mail]</w:t>
            </w:r>
          </w:p>
        </w:tc>
      </w:tr>
    </w:tbl>
    <w:p>
      <w:pPr>
        <w:spacing w:before="0" w:after="80" w:line="276" w:lineRule="auto"/>
        <w:jc w:val="both"/>
      </w:pP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Состав услуг, программа и стоимость каждой позиции определены в Смете (Приложение № 1), которая является неотъемлемой частью договора.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1.4.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Исполнитель вправе привлекать к оказанию услуг третьих лиц (площадку, кейтеринг, ведущего, артистов, техническое обеспечение). Исполнитель отвечает перед Заказчиком за их действия как за свои собственные.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2. Обязанности сторон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2.1.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Исполнитель обязуется: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не позднее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дней до мероприятия согласовать с Заказчиком сценарий и тайминг мероприятия;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забронировать площадку и заключить договоры с привлечёнными подрядчиками;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обеспечить монтаж оборудования и оформление площадки к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[время]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в день мероприятия;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обеспечить присутствие своего координатора на площадке на всё время мероприятия;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соблюдать правила площадки, требования пожарной безопасности и санитарные требования;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после мероприятия обеспечить демонтаж и вывоз своего оборудования;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по запросу Заказчика сообщать о ходе подготовки.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2.2.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Заказчик обязуется: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своевременно предоставлять информацию, необходимую для подготовки: список гостей, пожелания к программе, логотипы и материалы для оформления;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согласовать сценарий в течение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рабочих дней после его получения;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сообщить окончательное количество гостей не позднее чем за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дней до мероприятия;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оплатить услуги в порядке, предусмотренном разделом 3 договора;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принять оказанные услуги.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3. Стоимость услуг и порядок расчётов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3.1.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Стоимость услуг по договору составляет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[сумма цифрами]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 xml:space="preserve"> (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[сумма прописью]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) рублей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и определяется Сметой. НДС: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[ставка и сумма НДС либо основание, по которому НДС не уплачивается]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3.2.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Заказчик оплачивает услуги в следующем порядке: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  <w:tblLayout w:type="fixed"/>
      </w:tblPr>
      <w:tblGrid>
        <w:gridCol w:w="2563"/>
        <w:gridCol w:w="1665"/>
        <w:gridCol w:w="5126"/>
      </w:tblGrid>
      <w:tr>
        <w:trPr>
          <w:cantSplit/>
        </w:trPr>
        <w:tc>
          <w:tcPr>
            <w:tcW w:type="dxa" w:w="2563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Платёж</w:t>
            </w:r>
          </w:p>
        </w:tc>
        <w:tc>
          <w:tcPr>
            <w:tcW w:type="dxa" w:w="1666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Размер</w:t>
            </w:r>
          </w:p>
        </w:tc>
        <w:tc>
          <w:tcPr>
            <w:tcW w:type="dxa" w:w="5126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Срок</w:t>
            </w:r>
          </w:p>
        </w:tc>
      </w:tr>
      <w:tr>
        <w:trPr>
          <w:cantSplit/>
        </w:trPr>
        <w:tc>
          <w:tcPr>
            <w:tcW w:type="dxa" w:w="2563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Предоплата</w:t>
            </w:r>
          </w:p>
        </w:tc>
        <w:tc>
          <w:tcPr>
            <w:tcW w:type="dxa" w:w="1666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50% стоимости</w:t>
            </w:r>
          </w:p>
        </w:tc>
        <w:tc>
          <w:tcPr>
            <w:tcW w:type="dxa" w:w="5126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в течение 5 рабочих дней с даты подписания договора</w:t>
            </w:r>
          </w:p>
        </w:tc>
      </w:tr>
      <w:tr>
        <w:trPr>
          <w:cantSplit/>
        </w:trPr>
        <w:tc>
          <w:tcPr>
            <w:tcW w:type="dxa" w:w="2563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Окончательный расчёт</w:t>
            </w:r>
          </w:p>
        </w:tc>
        <w:tc>
          <w:tcPr>
            <w:tcW w:type="dxa" w:w="1666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50% стоимости</w:t>
            </w:r>
          </w:p>
        </w:tc>
        <w:tc>
          <w:tcPr>
            <w:tcW w:type="dxa" w:w="5126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не позднее чем за 3 рабочих дня до мероприятия</w:t>
            </w:r>
          </w:p>
        </w:tc>
      </w:tr>
    </w:tbl>
    <w:p>
      <w:pPr>
        <w:spacing w:before="0" w:after="80" w:line="276" w:lineRule="auto"/>
        <w:jc w:val="both"/>
      </w:pP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3.3.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Если по согласованию с Заказчиком количество гостей или состав услуг изменяется, Стороны подписывают уточнённую Смету. Увеличение количества гостей менее чем за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дней до мероприятия допускается только при наличии возможности у площадки и подрядчиков.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3.4.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Если фактическое количество гостей окажется меньше заявленного, стоимость услуг, рассчитанная на одного гостя, не уменьшается.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3.5.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Оплата производится безналичным перечислением на расчётный счёт Исполнителя. Обязанность по оплате считается исполненной в день списания денежных средств со счёта Заказчика.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4. Приёмка услуг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4.1.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В течение 3 (трёх) рабочих дней после мероприятия Исполнитель направляет Заказчику акт об оказанных услугах.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4.2.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Заказчик в течение 3 (трёх) рабочих дней после получения акта подписывает его или направляет мотивированные письменные возражения. Если в этот срок возражения не направлены, услуги считаются принятыми.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5. Перенос и отказ от мероприятия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5.1.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Заказчик вправе один раз перенести дату мероприятия, письменно уведомив Исполнителя не позднее чем за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дней до мероприятия. Новая дата согласуется Сторонами с учётом занятости площадки и подрядчиков. Расходы, вызванные переносом, оплачивает Заказчик.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5.2.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Заказчик вправе отказаться от договора, уведомив Исполнителя письменно. В этом случае Заказчик оплачивает Исполнителю фактически понесённые расходы, в том числе невозвратные платежи подрядчикам и площадке, подтверждённые документами (статья 782 Гражданского кодекса РФ). Оставшаяся часть предоплаты возвращается Заказчику в течение 10 (десяти) рабочих дней после получения уведомления об отказе.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5.3.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Исполнитель вправе отказаться от договора только при условии полного возмещения Заказчику убытков.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6. Ответственность сторон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6.1.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За просрочку оплаты Исполнитель вправе потребовать от Заказчика уплаты неустойки в размере 0,1% от неоплаченной суммы за каждый день просрочки.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6.2.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Если мероприятие не проведено или проведено с существенными недостатками по вине Исполнителя, Исполнитель возвращает Заказчику полученные денежные средства и возмещает убытки.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6.3.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Если услуга, предусмотренная Сметой, не оказана, её стоимость исключается из суммы к оплате или возвращается Заказчику.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6.4.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Заказчик возмещает ущерб, причинённый гостями мероприятия имуществу площадки и Исполнителя, если вина конкретного гостя установлена.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6.5.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Стороны освобождаются от ответственности, если неисполнение договора вызвано обстоятельствами непреодолимой силы, в том числе запретом на проведение массовых мероприятий, введённым органами власти. В этом случае Стороны согласуют новую дату, а при невозможности её согласования Исполнитель возвращает Заказчику полученные средства за вычетом фактически понесённых расходов.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7. Конфиденциальность и материалы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7.1.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Исполнитель не раскрывает третьим лицам сведения о Заказчике и гостях, ставшие ему известными в связи с договором.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7.2.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Исполнитель вправе использовать фото- и видеоматериалы мероприятия в своём портфолио только с письменного согласия Заказчика.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8. Заключительные положения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8.1.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Претензионный порядок урегулирования споров обязателен, срок ответа на претензию — 10 (десять) рабочих дней. Неурегулированный спор передаётся на рассмотрение арбитражного суда в соответствии с Арбитражным процессуальным кодексом РФ.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8.2.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Уведомления и документы Стороны направляют друг другу по электронной почте, указанной в разделе 9. Документы, направленные по электронной почте, имеют силу до обмена оригиналами.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8.3.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Договор вступает в силу с момента подписания и действует до полного исполнения Сторонами обязательств.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8.4.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Договор составлен в двух экземплярах, по одному для каждой из Сторон.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8.5.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Приложение: Приложение № 1 «Смета мероприятия».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9. Реквизиты и подписи сторон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4677"/>
        <w:gridCol w:w="4677"/>
      </w:tblGrid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Заказчик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Исполнитель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[Наименование]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ОГРН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[ОГРН]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, ИНН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[ИНН]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, КПП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[КПП]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Адрес: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[юридический адрес]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Р/с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[номер счёта]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в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[наименование банка]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БИК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[БИК]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, к/с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[корреспондентский счёт]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E-mail: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[адрес электронной почты]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Тел.: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[номер телефона]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[Наименование]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ОГРН/ОГРНИП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[номер]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, ИНН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[ИНН]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Адрес: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[юридический адрес]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Р/с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[номер счёта]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в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[наименование банка]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БИК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[БИК]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, к/с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[корреспондентский счёт]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E-mail: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[адрес электронной почты]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Тел.: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[номер телефона]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[должность]</w:t>
            </w: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___________ /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[И. О. Фамилия]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/</w:t>
            </w: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М. П. (при наличии)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[должность]</w:t>
            </w: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___________ /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[И. О. Фамилия]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/</w:t>
            </w: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М. П. (при наличии)</w:t>
            </w:r>
          </w:p>
        </w:tc>
      </w:tr>
    </w:tbl>
    <w:p>
      <w:pPr>
        <w:pageBreakBefore/>
        <w:spacing w:before="0" w:after="120" w:line="276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Приложение № 1</w:t>
      </w:r>
    </w:p>
    <w:p>
      <w:pPr>
        <w:spacing w:before="0" w:after="120" w:line="276" w:lineRule="auto"/>
        <w:jc w:val="center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 договору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Смета мероприятия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  <w:tblLayout w:type="fixed"/>
      </w:tblPr>
      <w:tblGrid>
        <w:gridCol w:w="935"/>
        <w:gridCol w:w="5345"/>
        <w:gridCol w:w="1069"/>
        <w:gridCol w:w="935"/>
        <w:gridCol w:w="1069"/>
      </w:tblGrid>
      <w:tr>
        <w:trPr>
          <w:cantSplit/>
        </w:trPr>
        <w:tc>
          <w:tcPr>
            <w:tcW w:type="dxa" w:w="935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№</w:t>
            </w:r>
          </w:p>
        </w:tc>
        <w:tc>
          <w:tcPr>
            <w:tcW w:type="dxa" w:w="5346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Услуга</w:t>
            </w:r>
          </w:p>
        </w:tc>
        <w:tc>
          <w:tcPr>
            <w:tcW w:type="dxa" w:w="1069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Кол-во</w:t>
            </w:r>
          </w:p>
        </w:tc>
        <w:tc>
          <w:tcPr>
            <w:tcW w:type="dxa" w:w="935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Цена, ₽</w:t>
            </w:r>
          </w:p>
        </w:tc>
        <w:tc>
          <w:tcPr>
            <w:tcW w:type="dxa" w:w="1069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Сумма, ₽</w:t>
            </w:r>
          </w:p>
        </w:tc>
      </w:tr>
      <w:tr>
        <w:trPr>
          <w:cantSplit/>
        </w:trPr>
        <w:tc>
          <w:tcPr>
            <w:tcW w:type="dxa" w:w="935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1</w:t>
            </w:r>
          </w:p>
        </w:tc>
        <w:tc>
          <w:tcPr>
            <w:tcW w:type="dxa" w:w="5346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Аренда площадки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[наименование]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,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[количество]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часов</w:t>
            </w:r>
          </w:p>
        </w:tc>
        <w:tc>
          <w:tcPr>
            <w:tcW w:type="dxa" w:w="1069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[кол-во]</w:t>
            </w:r>
          </w:p>
        </w:tc>
        <w:tc>
          <w:tcPr>
            <w:tcW w:type="dxa" w:w="935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[цена]</w:t>
            </w:r>
          </w:p>
        </w:tc>
        <w:tc>
          <w:tcPr>
            <w:tcW w:type="dxa" w:w="1069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[сумма]</w:t>
            </w:r>
          </w:p>
        </w:tc>
      </w:tr>
      <w:tr>
        <w:trPr>
          <w:cantSplit/>
        </w:trPr>
        <w:tc>
          <w:tcPr>
            <w:tcW w:type="dxa" w:w="935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2</w:t>
            </w:r>
          </w:p>
        </w:tc>
        <w:tc>
          <w:tcPr>
            <w:tcW w:type="dxa" w:w="5346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Банкетное меню на одного гостя</w:t>
            </w:r>
          </w:p>
        </w:tc>
        <w:tc>
          <w:tcPr>
            <w:tcW w:type="dxa" w:w="1069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[кол-во]</w:t>
            </w:r>
          </w:p>
        </w:tc>
        <w:tc>
          <w:tcPr>
            <w:tcW w:type="dxa" w:w="935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[цена]</w:t>
            </w:r>
          </w:p>
        </w:tc>
        <w:tc>
          <w:tcPr>
            <w:tcW w:type="dxa" w:w="1069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[сумма]</w:t>
            </w:r>
          </w:p>
        </w:tc>
      </w:tr>
      <w:tr>
        <w:trPr>
          <w:cantSplit/>
        </w:trPr>
        <w:tc>
          <w:tcPr>
            <w:tcW w:type="dxa" w:w="935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3</w:t>
            </w:r>
          </w:p>
        </w:tc>
        <w:tc>
          <w:tcPr>
            <w:tcW w:type="dxa" w:w="5346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Ведущий мероприятия</w:t>
            </w:r>
          </w:p>
        </w:tc>
        <w:tc>
          <w:tcPr>
            <w:tcW w:type="dxa" w:w="1069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[кол-во]</w:t>
            </w:r>
          </w:p>
        </w:tc>
        <w:tc>
          <w:tcPr>
            <w:tcW w:type="dxa" w:w="935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[цена]</w:t>
            </w:r>
          </w:p>
        </w:tc>
        <w:tc>
          <w:tcPr>
            <w:tcW w:type="dxa" w:w="1069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[сумма]</w:t>
            </w:r>
          </w:p>
        </w:tc>
      </w:tr>
      <w:tr>
        <w:trPr>
          <w:cantSplit/>
        </w:trPr>
        <w:tc>
          <w:tcPr>
            <w:tcW w:type="dxa" w:w="935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4</w:t>
            </w:r>
          </w:p>
        </w:tc>
        <w:tc>
          <w:tcPr>
            <w:tcW w:type="dxa" w:w="5346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Звуковое и световое оборудование, техник</w:t>
            </w:r>
          </w:p>
        </w:tc>
        <w:tc>
          <w:tcPr>
            <w:tcW w:type="dxa" w:w="1069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[кол-во]</w:t>
            </w:r>
          </w:p>
        </w:tc>
        <w:tc>
          <w:tcPr>
            <w:tcW w:type="dxa" w:w="935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[цена]</w:t>
            </w:r>
          </w:p>
        </w:tc>
        <w:tc>
          <w:tcPr>
            <w:tcW w:type="dxa" w:w="1069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[сумма]</w:t>
            </w:r>
          </w:p>
        </w:tc>
      </w:tr>
      <w:tr>
        <w:trPr>
          <w:cantSplit/>
        </w:trPr>
        <w:tc>
          <w:tcPr>
            <w:tcW w:type="dxa" w:w="935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5</w:t>
            </w:r>
          </w:p>
        </w:tc>
        <w:tc>
          <w:tcPr>
            <w:tcW w:type="dxa" w:w="5346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Оформление площадки</w:t>
            </w:r>
          </w:p>
        </w:tc>
        <w:tc>
          <w:tcPr>
            <w:tcW w:type="dxa" w:w="1069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[кол-во]</w:t>
            </w:r>
          </w:p>
        </w:tc>
        <w:tc>
          <w:tcPr>
            <w:tcW w:type="dxa" w:w="935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[цена]</w:t>
            </w:r>
          </w:p>
        </w:tc>
        <w:tc>
          <w:tcPr>
            <w:tcW w:type="dxa" w:w="1069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[сумма]</w:t>
            </w:r>
          </w:p>
        </w:tc>
      </w:tr>
      <w:tr>
        <w:trPr>
          <w:cantSplit/>
        </w:trPr>
        <w:tc>
          <w:tcPr>
            <w:tcW w:type="dxa" w:w="935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6</w:t>
            </w:r>
          </w:p>
        </w:tc>
        <w:tc>
          <w:tcPr>
            <w:tcW w:type="dxa" w:w="5346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Фото- и видеосъёмка</w:t>
            </w:r>
          </w:p>
        </w:tc>
        <w:tc>
          <w:tcPr>
            <w:tcW w:type="dxa" w:w="1069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[кол-во]</w:t>
            </w:r>
          </w:p>
        </w:tc>
        <w:tc>
          <w:tcPr>
            <w:tcW w:type="dxa" w:w="935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[цена]</w:t>
            </w:r>
          </w:p>
        </w:tc>
        <w:tc>
          <w:tcPr>
            <w:tcW w:type="dxa" w:w="1069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[сумма]</w:t>
            </w:r>
          </w:p>
        </w:tc>
      </w:tr>
      <w:tr>
        <w:trPr>
          <w:cantSplit/>
        </w:trPr>
        <w:tc>
          <w:tcPr>
            <w:tcW w:type="dxa" w:w="935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7</w:t>
            </w:r>
          </w:p>
        </w:tc>
        <w:tc>
          <w:tcPr>
            <w:tcW w:type="dxa" w:w="5346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Координация мероприятия</w:t>
            </w:r>
          </w:p>
        </w:tc>
        <w:tc>
          <w:tcPr>
            <w:tcW w:type="dxa" w:w="1069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[кол-во]</w:t>
            </w:r>
          </w:p>
        </w:tc>
        <w:tc>
          <w:tcPr>
            <w:tcW w:type="dxa" w:w="935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[цена]</w:t>
            </w:r>
          </w:p>
        </w:tc>
        <w:tc>
          <w:tcPr>
            <w:tcW w:type="dxa" w:w="1069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[сумма]</w:t>
            </w:r>
          </w:p>
        </w:tc>
      </w:tr>
      <w:tr>
        <w:trPr>
          <w:cantSplit/>
        </w:trPr>
        <w:tc>
          <w:tcPr>
            <w:tcW w:type="dxa" w:w="935"/>
          </w:tcPr>
          <w:p>
            <w:pPr>
              <w:spacing w:before="0" w:after="20" w:line="240" w:lineRule="auto"/>
              <w:jc w:val="left"/>
            </w:pPr>
            <w:r/>
          </w:p>
        </w:tc>
        <w:tc>
          <w:tcPr>
            <w:tcW w:type="dxa" w:w="5346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Итого</w:t>
            </w:r>
          </w:p>
        </w:tc>
        <w:tc>
          <w:tcPr>
            <w:tcW w:type="dxa" w:w="1069"/>
          </w:tcPr>
          <w:p>
            <w:pPr>
              <w:spacing w:before="0" w:after="20" w:line="240" w:lineRule="auto"/>
              <w:jc w:val="left"/>
            </w:pPr>
            <w:r/>
          </w:p>
        </w:tc>
        <w:tc>
          <w:tcPr>
            <w:tcW w:type="dxa" w:w="935"/>
          </w:tcPr>
          <w:p>
            <w:pPr>
              <w:spacing w:before="0" w:after="20" w:line="240" w:lineRule="auto"/>
              <w:jc w:val="left"/>
            </w:pPr>
            <w:r/>
          </w:p>
        </w:tc>
        <w:tc>
          <w:tcPr>
            <w:tcW w:type="dxa" w:w="1069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[сумма]</w:t>
            </w:r>
          </w:p>
        </w:tc>
      </w:tr>
    </w:tbl>
    <w:p>
      <w:pPr>
        <w:spacing w:before="0" w:after="80" w:line="276" w:lineRule="auto"/>
        <w:jc w:val="both"/>
      </w:pPr>
    </w:p>
    <w:p>
      <w:pPr>
        <w:spacing w:before="80" w:after="160" w:line="252" w:lineRule="auto"/>
        <w:jc w:val="left"/>
        <w:shd w:val="clear" w:color="auto" w:fill="EEF2F8"/>
        <w:pBdr>
          <w:left w:val="single" w:sz="18" w:space="6" w:color="1F3A68"/>
        </w:pBdr>
      </w:pPr>
      <w:r>
        <w:rPr>
          <w:rFonts w:ascii="Times New Roman" w:hAnsi="Times New Roman" w:eastAsia="Times New Roman"/>
          <w:b/>
          <w:color w:val="1F3A68"/>
          <w:sz w:val="20"/>
        </w:rPr>
        <w:t xml:space="preserve">Подсказка: </w:t>
      </w:r>
      <w:r>
        <w:rPr>
          <w:rFonts w:ascii="Times New Roman" w:hAnsi="Times New Roman" w:eastAsia="Times New Roman"/>
          <w:b w:val="0"/>
          <w:i w:val="0"/>
          <w:color w:val="595F6B"/>
          <w:sz w:val="20"/>
        </w:rPr>
        <w:t>Перечень позиций в смете приведён для примера: оставьте свои услуги и укажите отдельно позиции, по которым предоплата площадке или подрядчикам не возвращается, чтобы при отмене не спорить о расходах.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4677"/>
        <w:gridCol w:w="4677"/>
      </w:tblGrid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Заказчик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Исполнитель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___________ /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[И. О. Фамилия]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/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___________ /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[И. О. Фамилия]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/</w:t>
            </w:r>
          </w:p>
        </w:tc>
      </w:tr>
    </w:tbl>
    <w:p>
      <w:pPr>
        <w:spacing w:before="0" w:after="80" w:line="276" w:lineRule="auto"/>
        <w:jc w:val="both"/>
      </w:pPr>
    </w:p>
    <w:sectPr w:rsidR="00FC693F" w:rsidRPr="0006063C" w:rsidSect="00034616">
      <w:footerReference w:type="default" r:id="rId9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color w:val="1A1A1A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на организацию и проведение мероприятия (корпоративного события) со сметой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