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инспекции ФНС России по месту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инспекции]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1: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2: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супруги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распределении имущественного налогового вычета между супругами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Мы,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супруги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состоим в зарегистрированном браке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брака]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заключении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брака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[вид, номер и дата договора, например: договора купли-продажи от 10.03.2026 № 15]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мы приобрели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собственности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государственной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имя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собственника по выписке из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силу ст. 34 Семейного кодекса РФ квартира является нашей общей совместной собственностью независимо от того, на имя кого из супругов она оформлена.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квартиры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Часть стоимости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оплачена за счет целевого кредита, полученного по кредитному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по этому кредиту уплачены проценты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справкой банка.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Ранее каждый из нас не получал имущественный налоговый вычет по расходам на погашение процентов по целевым кредитам на приобретение жилья, а вычет по расходам на приобретение жилья не использовал в полном размере.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пп. 3 и 4 п. 1, пп. 1 п. 3, п. 4 ст. 220 Налогового кодекса РФ, ст. 34 Семейного кодекса РФ мы по взаимному согласию распределяем расходы следующим образом.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Расходы на приобретение квартиры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сумма расходов]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Расходы на погашение процентов по кредитному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уплаченные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году,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%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%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руб.).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ПРОСИМ: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Предоставить каждому из нас имущественный налоговый вычет по налогу на доходы физических лиц в размере, соответствующем указанному распределению расходов.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Учесть настоящее заявление при проверке налоговых деклараций по форме 3-НДФЛ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год, представленных каждым из нас.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заключении брака.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выписки из ЕГРН о праве собственности на квартиру.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о приобретении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 об оплате стоимости квартиры.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кредитного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банка об уплаченных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 процентах.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супруги]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распределении имущественного налогового вычета между супругами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