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инспекции ФНС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перерасчете налога на имущество физических лиц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размер доли в праве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право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Налоговым уведомлением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исчислен налог на имущество физических лиц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Налоговая база определена исходя из кадастровой стоимости объекта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государственного бюджетного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кадастровая стоимость объекта установлена в размере его рыночной стоимости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Сведения о новой кадастровой стоимости внесены в Единый государственный реестр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внесения]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датой начала ее применения указано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применения]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ЕГРН о кадастровой стоимости объекта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Налог на имущество физических лиц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годы исчислен из прежней кадастровой стоимости и подлежит перерасчету исходя из кадастровой стоимости, установленной указанным решением.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ст. 403, п. 10 ст. 408, п. 8 ст. 362, п. 2.1 ст. 52 Налогового кодекса РФ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перерасчет налога на имущество физических лиц по объекту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годы исходя из кадастровой стоимости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применения]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уведомление о перерасчете и налоговое уведомление с пересчитанной суммой налога через личный кабинет налогоплательщика.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Сумму излишне уплаченного налога, образовавшуюся в результате перерасчета, учесть в составе положительного сальдо моего единого налогового счета.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государственного бюджетного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кадастровой стоимости объекта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налогового уведомления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налоговую о перерасчете налога на имущество физических лиц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