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Главе администрации </w:t>
      </w:r>
      <w:r>
        <w:rPr>
          <w:rFonts w:ascii="Times New Roman" w:hAnsi="Times New Roman" w:eastAsia="Times New Roman"/>
          <w:b w:val="0"/>
          <w:i w:val="0"/>
          <w:color w:val="1A1A1A"/>
          <w:sz w:val="28"/>
        </w:rPr>
        <w:t>[наименование муниципального образования]</w:t>
      </w:r>
    </w:p>
    <w:p>
      <w:pPr>
        <w:spacing w:before="0" w:after="0" w:line="240" w:lineRule="auto"/>
        <w:jc w:val="right"/>
      </w:pPr>
      <w:r>
        <w:rPr>
          <w:rFonts w:ascii="Times New Roman" w:hAnsi="Times New Roman" w:eastAsia="Times New Roman"/>
          <w:b w:val="0"/>
          <w:i w:val="0"/>
          <w:color w:val="1A1A1A"/>
          <w:sz w:val="28"/>
        </w:rPr>
        <w:t>[ФИО главы администрации]</w:t>
      </w:r>
    </w:p>
    <w:p>
      <w:pPr>
        <w:spacing w:before="0" w:after="0" w:line="240" w:lineRule="auto"/>
        <w:jc w:val="right"/>
      </w:pPr>
      <w:r>
        <w:rPr>
          <w:rFonts w:ascii="Times New Roman" w:hAnsi="Times New Roman" w:eastAsia="Times New Roman"/>
          <w:b w:val="0"/>
          <w:i w:val="0"/>
          <w:color w:val="1A1A1A"/>
          <w:sz w:val="28"/>
        </w:rPr>
        <w:t>[адрес администрации]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[почтовый адрес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выявлении бесхозяйного недвижимого имущества и постановке его на учёт</w:t>
      </w:r>
    </w:p>
    <w:p>
      <w:pPr>
        <w:spacing w:before="0" w:after="120" w:line="276" w:lineRule="auto"/>
        <w:ind w:firstLine="709"/>
        <w:jc w:val="both"/>
      </w:pPr>
      <w:r>
        <w:rPr>
          <w:rFonts w:ascii="Times New Roman" w:hAnsi="Times New Roman" w:eastAsia="Times New Roman"/>
          <w:b w:val="0"/>
          <w:i w:val="0"/>
          <w:color w:val="1A1A1A"/>
          <w:sz w:val="28"/>
        </w:rPr>
        <w:t xml:space="preserve">Сообщаю, что по адресу: </w:t>
      </w:r>
      <w:r>
        <w:rPr>
          <w:rFonts w:ascii="Times New Roman" w:hAnsi="Times New Roman" w:eastAsia="Times New Roman"/>
          <w:b w:val="0"/>
          <w:i w:val="0"/>
          <w:color w:val="1A1A1A"/>
          <w:sz w:val="28"/>
        </w:rPr>
        <w:t>[адрес или описание местоположения объекта, ориентиры]</w:t>
      </w:r>
      <w:r>
        <w:rPr>
          <w:rFonts w:ascii="Times New Roman" w:hAnsi="Times New Roman" w:eastAsia="Times New Roman"/>
          <w:b w:val="0"/>
          <w:i w:val="0"/>
          <w:color w:val="1A1A1A"/>
          <w:sz w:val="28"/>
        </w:rPr>
        <w:t xml:space="preserve"> расположен заброшенный объект недвижимости: </w:t>
      </w:r>
      <w:r>
        <w:rPr>
          <w:rFonts w:ascii="Times New Roman" w:hAnsi="Times New Roman" w:eastAsia="Times New Roman"/>
          <w:b w:val="0"/>
          <w:i w:val="0"/>
          <w:color w:val="1A1A1A"/>
          <w:sz w:val="28"/>
        </w:rPr>
        <w:t>[вид объекта, например: одноэтажный жилой дом из бруса]</w:t>
      </w:r>
      <w:r>
        <w:rPr>
          <w:rFonts w:ascii="Times New Roman" w:hAnsi="Times New Roman" w:eastAsia="Times New Roman"/>
          <w:b w:val="0"/>
          <w:i w:val="0"/>
          <w:color w:val="1A1A1A"/>
          <w:sz w:val="28"/>
        </w:rPr>
        <w:t xml:space="preserve">, площадью около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кадастровый номер </w:t>
      </w:r>
      <w:r>
        <w:rPr>
          <w:rFonts w:ascii="Times New Roman" w:hAnsi="Times New Roman" w:eastAsia="Times New Roman"/>
          <w:b w:val="0"/>
          <w:i w:val="0"/>
          <w:color w:val="1A1A1A"/>
          <w:sz w:val="28"/>
        </w:rPr>
        <w:t>[кадастровый номер объекта, если известен]</w:t>
      </w:r>
      <w:r>
        <w:rPr>
          <w:rFonts w:ascii="Times New Roman" w:hAnsi="Times New Roman" w:eastAsia="Times New Roman"/>
          <w:b w:val="0"/>
          <w:i w:val="0"/>
          <w:color w:val="1A1A1A"/>
          <w:sz w:val="28"/>
        </w:rPr>
        <w:t xml:space="preserve">, на земельном участке с кадастровым номером </w:t>
      </w:r>
      <w:r>
        <w:rPr>
          <w:rFonts w:ascii="Times New Roman" w:hAnsi="Times New Roman" w:eastAsia="Times New Roman"/>
          <w:b w:val="0"/>
          <w:i w:val="0"/>
          <w:color w:val="1A1A1A"/>
          <w:sz w:val="28"/>
        </w:rPr>
        <w:t>[кадастровый номер участка, если известен]</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Я проживаю по адресу: </w:t>
      </w:r>
      <w:r>
        <w:rPr>
          <w:rFonts w:ascii="Times New Roman" w:hAnsi="Times New Roman" w:eastAsia="Times New Roman"/>
          <w:b w:val="0"/>
          <w:i w:val="0"/>
          <w:color w:val="1A1A1A"/>
          <w:sz w:val="28"/>
        </w:rPr>
        <w:t>[адрес заявителя]</w:t>
      </w:r>
      <w:r>
        <w:rPr>
          <w:rFonts w:ascii="Times New Roman" w:hAnsi="Times New Roman" w:eastAsia="Times New Roman"/>
          <w:b w:val="0"/>
          <w:i w:val="0"/>
          <w:color w:val="1A1A1A"/>
          <w:sz w:val="28"/>
        </w:rPr>
        <w:t xml:space="preserve">, в непосредственной близости от этого объекта. Объектом никто не пользуется не менее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лет: с </w:t>
      </w:r>
      <w:r>
        <w:rPr>
          <w:rFonts w:ascii="Times New Roman" w:hAnsi="Times New Roman" w:eastAsia="Times New Roman"/>
          <w:b w:val="0"/>
          <w:i w:val="0"/>
          <w:color w:val="1A1A1A"/>
          <w:sz w:val="28"/>
        </w:rPr>
        <w:t>[год или дата]</w:t>
      </w:r>
      <w:r>
        <w:rPr>
          <w:rFonts w:ascii="Times New Roman" w:hAnsi="Times New Roman" w:eastAsia="Times New Roman"/>
          <w:b w:val="0"/>
          <w:i w:val="0"/>
          <w:color w:val="1A1A1A"/>
          <w:sz w:val="28"/>
        </w:rPr>
        <w:t xml:space="preserve"> в нём никто не проживает, коммунальные услуги не оплачиваются, ремонт не проводится, территория не убирается. Прежним владельцем, по сведениям соседей, был </w:t>
      </w:r>
      <w:r>
        <w:rPr>
          <w:rFonts w:ascii="Times New Roman" w:hAnsi="Times New Roman" w:eastAsia="Times New Roman"/>
          <w:b w:val="0"/>
          <w:i w:val="0"/>
          <w:color w:val="1A1A1A"/>
          <w:sz w:val="28"/>
        </w:rPr>
        <w:t>[ФИО прежнего владельца, если известно]</w:t>
      </w:r>
      <w:r>
        <w:rPr>
          <w:rFonts w:ascii="Times New Roman" w:hAnsi="Times New Roman" w:eastAsia="Times New Roman"/>
          <w:b w:val="0"/>
          <w:i w:val="0"/>
          <w:color w:val="1A1A1A"/>
          <w:sz w:val="28"/>
        </w:rPr>
        <w:t xml:space="preserve">, который </w:t>
      </w:r>
      <w:r>
        <w:rPr>
          <w:rFonts w:ascii="Times New Roman" w:hAnsi="Times New Roman" w:eastAsia="Times New Roman"/>
          <w:b w:val="0"/>
          <w:i w:val="0"/>
          <w:color w:val="1A1A1A"/>
          <w:sz w:val="28"/>
        </w:rPr>
        <w:t>[что известно о его судьбе: умер в [год]</w:t>
      </w:r>
      <w:r>
        <w:rPr>
          <w:rFonts w:ascii="Times New Roman" w:hAnsi="Times New Roman" w:eastAsia="Times New Roman"/>
          <w:b w:val="0"/>
          <w:i w:val="0"/>
          <w:color w:val="1A1A1A"/>
          <w:sz w:val="28"/>
        </w:rPr>
        <w:t xml:space="preserve">, выехал в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родственники не объявлялись]. Иные лица прав на объект не заявляли.</w:t>
      </w:r>
    </w:p>
    <w:p>
      <w:pPr>
        <w:spacing w:before="0" w:after="120" w:line="276" w:lineRule="auto"/>
        <w:ind w:firstLine="709"/>
        <w:jc w:val="both"/>
      </w:pPr>
      <w:r>
        <w:rPr>
          <w:rFonts w:ascii="Times New Roman" w:hAnsi="Times New Roman" w:eastAsia="Times New Roman"/>
          <w:b w:val="0"/>
          <w:i w:val="0"/>
          <w:color w:val="1A1A1A"/>
          <w:sz w:val="28"/>
        </w:rPr>
        <w:t xml:space="preserve">Согласно выписке из Единого государственного реестра недвижимости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 </w:t>
      </w:r>
      <w:r>
        <w:rPr>
          <w:rFonts w:ascii="Times New Roman" w:hAnsi="Times New Roman" w:eastAsia="Times New Roman"/>
          <w:b w:val="0"/>
          <w:i w:val="0"/>
          <w:color w:val="1A1A1A"/>
          <w:sz w:val="28"/>
        </w:rPr>
        <w:t>[номер выписки]</w:t>
      </w:r>
      <w:r>
        <w:rPr>
          <w:rFonts w:ascii="Times New Roman" w:hAnsi="Times New Roman" w:eastAsia="Times New Roman"/>
          <w:b w:val="0"/>
          <w:i w:val="0"/>
          <w:color w:val="1A1A1A"/>
          <w:sz w:val="28"/>
        </w:rPr>
        <w:t xml:space="preserve"> сведения о зарегистрированных правах на объект отсутствуют.</w:t>
      </w:r>
    </w:p>
    <w:p>
      <w:pPr>
        <w:spacing w:before="0" w:after="120" w:line="276" w:lineRule="auto"/>
        <w:ind w:firstLine="709"/>
        <w:jc w:val="both"/>
      </w:pPr>
      <w:r>
        <w:rPr>
          <w:rFonts w:ascii="Times New Roman" w:hAnsi="Times New Roman" w:eastAsia="Times New Roman"/>
          <w:b w:val="0"/>
          <w:i w:val="0"/>
          <w:color w:val="1A1A1A"/>
          <w:sz w:val="28"/>
        </w:rPr>
        <w:t xml:space="preserve">Объект находится в разрушающемся состоянии: </w:t>
      </w:r>
      <w:r>
        <w:rPr>
          <w:rFonts w:ascii="Times New Roman" w:hAnsi="Times New Roman" w:eastAsia="Times New Roman"/>
          <w:b w:val="0"/>
          <w:i w:val="0"/>
          <w:color w:val="1A1A1A"/>
          <w:sz w:val="28"/>
        </w:rPr>
        <w:t>[описание состояния, например: обрушилась часть кровли, выбиты окна, отсутствуют двери, стены дали трещины]</w:t>
      </w:r>
      <w:r>
        <w:rPr>
          <w:rFonts w:ascii="Times New Roman" w:hAnsi="Times New Roman" w:eastAsia="Times New Roman"/>
          <w:b w:val="0"/>
          <w:i w:val="0"/>
          <w:color w:val="1A1A1A"/>
          <w:sz w:val="28"/>
        </w:rPr>
        <w:t xml:space="preserve">. Доступ внутрь свободный. В здании собираются посторонние лица и дети, разводят костры, на территории скапливается мусор.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 здании </w:t>
      </w:r>
      <w:r>
        <w:rPr>
          <w:rFonts w:ascii="Times New Roman" w:hAnsi="Times New Roman" w:eastAsia="Times New Roman"/>
          <w:b w:val="0"/>
          <w:i w:val="0"/>
          <w:color w:val="1A1A1A"/>
          <w:sz w:val="28"/>
        </w:rPr>
        <w:t>[описание происшествия, например: произошло возгорание, на место выезжала пожарная охрана]</w:t>
      </w:r>
      <w:r>
        <w:rPr>
          <w:rFonts w:ascii="Times New Roman" w:hAnsi="Times New Roman" w:eastAsia="Times New Roman"/>
          <w:b w:val="0"/>
          <w:i w:val="0"/>
          <w:color w:val="1A1A1A"/>
          <w:sz w:val="28"/>
        </w:rPr>
        <w:t>. Состояние объекта создаёт угрозу жизни и здоровью граждан, а также угрозу пожара для соседних домов.</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 соответствии с п. 1 ст. 225 Гражданского кодекса Российской Федерации 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Согласно п. 3 ст. 225 Гражданского кодекса Российской Федерации бесхозяйные недвижимые вещи принимаются на учёт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По истечении года со дня постановки на учёт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Порядок принятия на учёт бесхозяйных недвижимых вещей утверждён приказом Росреестра от 15.03.2023 № П/0086. С заявлением о постановке объекта на учёт обращается орган местного самоуправления, который прилагает документы, подтверждающие, что объект не учтён в реестрах государственного и муниципального имущества и что права на него ранее не регистрировались.</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Объект расположен на территории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поэтому выявление его собственника и подача заявления о постановке на учёт относятся к компетенции администрации. До решения вопроса о правах на объект администрация как орган, обеспечивающий безопасность территории муниципального образования, вправе и должна принять меры к предотвращению несчастных случаев и пожаров.</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В силу ст. 9 и ч. 1 ст. 12 Федерального закона от 02.05.2006 № 59-ФЗ «О порядке рассмотрения обращений граждан Российской Федерации» письменное обращение подлежит обязательному рассмотрению в течение 30 дней со дня его регистрации, а должностное лицо принимает меры, направленные на восстановление или защиту нарушенных прав и законных интересов гражданина.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225 Гражданского кодекса Российской Федерации, ст. 9 и 12 Федерального закона от 02.05.2006 № 59-ФЗ,</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Провести обследование объекта по адресу: </w:t>
      </w:r>
      <w:r>
        <w:rPr>
          <w:rFonts w:ascii="Times New Roman" w:hAnsi="Times New Roman" w:eastAsia="Times New Roman"/>
          <w:b w:val="0"/>
          <w:i w:val="0"/>
          <w:color w:val="1A1A1A"/>
          <w:sz w:val="28"/>
        </w:rPr>
        <w:t>[адрес объекта]</w:t>
      </w:r>
      <w:r>
        <w:rPr>
          <w:rFonts w:ascii="Times New Roman" w:hAnsi="Times New Roman" w:eastAsia="Times New Roman"/>
          <w:b w:val="0"/>
          <w:i w:val="0"/>
          <w:color w:val="1A1A1A"/>
          <w:sz w:val="28"/>
        </w:rPr>
        <w:t xml:space="preserve"> и проверить сведения о его собственнике, в том числе направить запросы в Росреестр, органы, ведущие реестры государственного и муниципального имущества, и организацию, осуществлявшую технический учёт до 1998 года.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 отсутствии сведений о собственнике обратиться в орган регистрации прав с заявлением о принятии объекта на учёт как бесхозяйной недвижимой вещи.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До решения вопроса о правах на объект принять меры к ограничению доступа к нему посторонних лиц (закрыть оконные и дверные проёмы, установить ограждение) и к уборке мусора с прилегающей территории.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По истечении срока, установленного п. 3 ст. 225 Гражданского кодекса Российской Федерации, обратиться в суд с заявлением о признании права муниципальной собственности на объект.</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Письменно сообщить мне о результатах рассмотрения заявления и о принятых мерах по каждому пункту по почтовому адресу или по адресу электронной почты, указанным в заявлении.</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Фотографии объекта и прилегающей территории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Выписка из Единого государственного реестра недвижимости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Схема расположения объекта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Письменные пояснения соседей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администрацию о выявлении бесхозяйного объекта недвижимости и постановке его на учёт</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