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Арбитражный суд </w:t>
      </w:r>
      <w:r>
        <w:rPr>
          <w:rFonts w:ascii="Times New Roman" w:hAnsi="Times New Roman" w:eastAsia="Times New Roman"/>
          <w:b w:val="0"/>
          <w:i w:val="0"/>
          <w:color w:val="1A1A1A"/>
          <w:sz w:val="28"/>
        </w:rPr>
        <w:t>[наименование субъекта Российской Федерации]</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Должник: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должника]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СНИЛС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должника: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представителя]</w:t>
      </w:r>
      <w:r>
        <w:rPr>
          <w:rFonts w:ascii="Times New Roman" w:hAnsi="Times New Roman" w:eastAsia="Times New Roman"/>
          <w:b w:val="0"/>
          <w:i w:val="0"/>
          <w:color w:val="1A1A1A"/>
          <w:sz w:val="28"/>
        </w:rPr>
        <w:t xml:space="preserve">, 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для корреспонденции: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Кредитор (заявитель ходатайства):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или ФИО кредитора]</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Финансовый управляющий:</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финансового управляющего]</w:t>
      </w:r>
    </w:p>
    <w:p>
      <w:pPr>
        <w:spacing w:before="0" w:after="0" w:line="240" w:lineRule="auto"/>
        <w:jc w:val="right"/>
      </w:pPr>
      <w:r>
        <w:rPr>
          <w:rFonts w:ascii="Times New Roman" w:hAnsi="Times New Roman" w:eastAsia="Times New Roman"/>
          <w:b w:val="0"/>
          <w:i w:val="0"/>
          <w:color w:val="1A1A1A"/>
          <w:sz w:val="28"/>
        </w:rPr>
        <w:t xml:space="preserve">адрес для корреспонденции: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Дело № А</w:t>
      </w:r>
      <w:r>
        <w:rPr>
          <w:rFonts w:ascii="Times New Roman" w:hAnsi="Times New Roman" w:eastAsia="Times New Roman"/>
          <w:b w:val="0"/>
          <w:i w:val="0"/>
          <w:color w:val="1A1A1A"/>
          <w:sz w:val="28"/>
        </w:rPr>
        <w:t>[номер дела]</w:t>
      </w:r>
    </w:p>
    <w:p>
      <w:pPr>
        <w:spacing w:before="0" w:after="0" w:line="240" w:lineRule="auto"/>
        <w:jc w:val="right"/>
      </w:pPr>
      <w:r>
        <w:rPr>
          <w:rFonts w:ascii="Times New Roman" w:hAnsi="Times New Roman" w:eastAsia="Times New Roman"/>
          <w:b w:val="0"/>
          <w:i w:val="0"/>
          <w:color w:val="1A1A1A"/>
          <w:sz w:val="28"/>
        </w:rPr>
        <w:t xml:space="preserve">Обособленный спор: о включении требования </w:t>
      </w:r>
      <w:r>
        <w:rPr>
          <w:rFonts w:ascii="Times New Roman" w:hAnsi="Times New Roman" w:eastAsia="Times New Roman"/>
          <w:b w:val="0"/>
          <w:i w:val="0"/>
          <w:color w:val="1A1A1A"/>
          <w:sz w:val="28"/>
        </w:rPr>
        <w:t>[наименование или ФИО кредитора]</w:t>
      </w:r>
      <w:r>
        <w:rPr>
          <w:rFonts w:ascii="Times New Roman" w:hAnsi="Times New Roman" w:eastAsia="Times New Roman"/>
          <w:b w:val="0"/>
          <w:i w:val="0"/>
          <w:color w:val="1A1A1A"/>
          <w:sz w:val="28"/>
        </w:rPr>
        <w:t xml:space="preserve"> в реестр требований кредиторов</w:t>
      </w:r>
    </w:p>
    <w:p>
      <w:pPr>
        <w:spacing w:before="0" w:after="0" w:line="240" w:lineRule="auto"/>
        <w:jc w:val="right"/>
      </w:pPr>
      <w:r>
        <w:rPr>
          <w:rFonts w:ascii="Times New Roman" w:hAnsi="Times New Roman" w:eastAsia="Times New Roman"/>
          <w:b w:val="0"/>
          <w:i w:val="0"/>
          <w:color w:val="1A1A1A"/>
          <w:sz w:val="28"/>
        </w:rPr>
        <w:t xml:space="preserve">Судебное заседание: </w:t>
      </w:r>
      <w:r>
        <w:rPr>
          <w:rFonts w:ascii="Times New Roman" w:hAnsi="Times New Roman" w:eastAsia="Times New Roman"/>
          <w:b w:val="0"/>
          <w:i w:val="0"/>
          <w:color w:val="1A1A1A"/>
          <w:sz w:val="28"/>
        </w:rPr>
        <w:t>[дата]</w:t>
      </w:r>
    </w:p>
    <w:p>
      <w:pPr>
        <w:keepNext/>
        <w:spacing w:before="240" w:after="240" w:line="240" w:lineRule="auto"/>
        <w:jc w:val="center"/>
      </w:pPr>
      <w:r>
        <w:rPr>
          <w:rFonts w:ascii="Times New Roman" w:hAnsi="Times New Roman" w:eastAsia="Times New Roman"/>
          <w:b/>
          <w:color w:val="000000"/>
          <w:sz w:val="28"/>
        </w:rPr>
        <w:t>ВОЗРАЖЕНИЯ</w:t>
      </w:r>
    </w:p>
    <w:p>
      <w:pPr>
        <w:keepNext/>
        <w:spacing w:before="200" w:after="160" w:line="240" w:lineRule="auto"/>
        <w:jc w:val="center"/>
      </w:pPr>
      <w:r>
        <w:rPr>
          <w:rFonts w:ascii="Times New Roman" w:hAnsi="Times New Roman" w:eastAsia="Times New Roman"/>
          <w:b/>
          <w:i w:val="0"/>
          <w:color w:val="1A1A1A"/>
          <w:sz w:val="28"/>
        </w:rPr>
        <w:t>на ходатайство кредитора о назначении судебной экспертизы</w:t>
      </w:r>
    </w:p>
    <w:p>
      <w:pPr>
        <w:spacing w:before="0" w:after="120" w:line="276" w:lineRule="auto"/>
        <w:ind w:firstLine="709"/>
        <w:jc w:val="both"/>
      </w:pPr>
      <w:r>
        <w:rPr>
          <w:rFonts w:ascii="Times New Roman" w:hAnsi="Times New Roman" w:eastAsia="Times New Roman"/>
          <w:b w:val="0"/>
          <w:i w:val="0"/>
          <w:color w:val="1A1A1A"/>
          <w:sz w:val="28"/>
        </w:rPr>
        <w:t xml:space="preserve">В производстве Арбитражного суда </w:t>
      </w:r>
      <w:r>
        <w:rPr>
          <w:rFonts w:ascii="Times New Roman" w:hAnsi="Times New Roman" w:eastAsia="Times New Roman"/>
          <w:b w:val="0"/>
          <w:i w:val="0"/>
          <w:color w:val="1A1A1A"/>
          <w:sz w:val="28"/>
        </w:rPr>
        <w:t>[наименование субъекта Российской Федерации]</w:t>
      </w:r>
      <w:r>
        <w:rPr>
          <w:rFonts w:ascii="Times New Roman" w:hAnsi="Times New Roman" w:eastAsia="Times New Roman"/>
          <w:b w:val="0"/>
          <w:i w:val="0"/>
          <w:color w:val="1A1A1A"/>
          <w:sz w:val="28"/>
        </w:rPr>
        <w:t xml:space="preserve"> находится заявление </w:t>
      </w:r>
      <w:r>
        <w:rPr>
          <w:rFonts w:ascii="Times New Roman" w:hAnsi="Times New Roman" w:eastAsia="Times New Roman"/>
          <w:b w:val="0"/>
          <w:i w:val="0"/>
          <w:color w:val="1A1A1A"/>
          <w:sz w:val="28"/>
        </w:rPr>
        <w:t>[наименование или ФИО кредитора]</w:t>
      </w:r>
      <w:r>
        <w:rPr>
          <w:rFonts w:ascii="Times New Roman" w:hAnsi="Times New Roman" w:eastAsia="Times New Roman"/>
          <w:b w:val="0"/>
          <w:i w:val="0"/>
          <w:color w:val="1A1A1A"/>
          <w:sz w:val="28"/>
        </w:rPr>
        <w:t xml:space="preserve"> (далее — кредитор) о включении в реестр требований кредиторов </w:t>
      </w:r>
      <w:r>
        <w:rPr>
          <w:rFonts w:ascii="Times New Roman" w:hAnsi="Times New Roman" w:eastAsia="Times New Roman"/>
          <w:b w:val="0"/>
          <w:i w:val="0"/>
          <w:color w:val="1A1A1A"/>
          <w:sz w:val="28"/>
        </w:rPr>
        <w:t>[ФИО должника]</w:t>
      </w:r>
      <w:r>
        <w:rPr>
          <w:rFonts w:ascii="Times New Roman" w:hAnsi="Times New Roman" w:eastAsia="Times New Roman"/>
          <w:b w:val="0"/>
          <w:i w:val="0"/>
          <w:color w:val="1A1A1A"/>
          <w:sz w:val="28"/>
        </w:rPr>
        <w:t xml:space="preserve"> требования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основанного на договоре займа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соглашении о погашении части долга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Должник возражает против требования в части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поскольку в материалах дела имеются два соглашения о погашении долга —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с разными условиями о размере остатка задолженности, а платежи на сумму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по платёжным поручениям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кредитором не учтены.</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кредитор заявил ходатайство о назначении судебной экспертизы и предложил поставить перед экспертом вопросы: «В чём различия между соглашением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соглашением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«Соответствует ли соглашение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требованиям гражданского законодательства и является ли оно документом?»; «Каков размер задолженности должника перед кредитором с учётом произведённых платежей?». Проведение экспертизы кредитор предлагает поручить </w:t>
      </w:r>
      <w:r>
        <w:rPr>
          <w:rFonts w:ascii="Times New Roman" w:hAnsi="Times New Roman" w:eastAsia="Times New Roman"/>
          <w:b w:val="0"/>
          <w:i w:val="0"/>
          <w:color w:val="1A1A1A"/>
          <w:sz w:val="28"/>
        </w:rPr>
        <w:t>[наименование организации или ФИО эксперта]</w:t>
      </w:r>
      <w:r>
        <w:rPr>
          <w:rFonts w:ascii="Times New Roman" w:hAnsi="Times New Roman" w:eastAsia="Times New Roman"/>
          <w:b w:val="0"/>
          <w:i w:val="0"/>
          <w:color w:val="1A1A1A"/>
          <w:sz w:val="28"/>
        </w:rPr>
        <w:t xml:space="preserve">, стоимость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Доказательства внесения этой суммы на депозитный счёт суда к ходатайству не приложены.</w:t>
      </w:r>
    </w:p>
    <w:p>
      <w:pPr>
        <w:spacing w:before="0" w:after="120" w:line="276" w:lineRule="auto"/>
        <w:ind w:firstLine="709"/>
        <w:jc w:val="both"/>
      </w:pPr>
      <w:r>
        <w:rPr>
          <w:rFonts w:ascii="Times New Roman" w:hAnsi="Times New Roman" w:eastAsia="Times New Roman"/>
          <w:b w:val="0"/>
          <w:i w:val="0"/>
          <w:color w:val="1A1A1A"/>
          <w:sz w:val="28"/>
        </w:rPr>
        <w:t>Должник возражает против назначения экспертизы по следующим основаниям.</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Экспертиза назначается для разъяснения возникающих при рассмотрении дела вопросов, требующих специальных знаний (ч. 1 ст. 82 АПК РФ). Кредитор не указал, какие специальные знания необходимы для ответа на предложенные вопросы и почему суд не может разрешить их самостоятельно. Сравнение текстов двух соглашений, представленных в материалы дела, не требует познаний в области науки, техники или ремесла: это исследование письменных доказательств, которое проводит суд.</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Вопросы о соответствии сделки требованиям закона и о том, является ли соглашение «документом», носят правовой характер. При определении круга вопросов суд исходит из того, что вопросы права и правовых последствий оценки доказательств не могут быть поставлены перед экспертом (абз. 2 п. 8 Постановления Пленума ВАС РФ от 04.04.2014 № 23 «О некоторых вопросах практики применения арбитражными судами законодательства об экспертизе»). Определение размера задолженности с учётом платежей — арифметический расчёт по документам дела и вопрос установления обстоятельств, подлежащих оценке судом по правилам ст. 71 АПК РФ.</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Заключение эксперта по правовым вопросам не отвечает требованиям относимости (ст. 67 АПК РФ): оно не сообщает сведений о фактах, а содержит суждение о праве, которое суд обязан сформировать сам. Судебная коллегия по экономическим спорам Верховного Суда Российской Федерации в аналогичной ситуации признала, что вопросы «в чём различия соглашений» и «является ли соглашение документом» носили правовой характер, касались оценки доказательств и должны были быть разрешены судом самостоятельно, а назначение экспертизы не соответствовало ч. 1 ст. 82 АПК РФ и абз. 2 п. 8 Постановления Пленума ВАС РФ № 23 (Определение от 12.10.2026 № 308-ЭС24-8288(3) по делу № А53-9858/2021).</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Назначение экспертизы повлечёт приостановление производства по обособленному спору (п. 1 ч. 1 ст. 144 АПК РФ) и затягивание процедуры реализации имущества, расходы на которую несёт конкурсная масса. Денежные суммы, подлежащие выплате эксперту, вносятся на депозитный счёт суда лицом, заявившим ходатайство (ч. 1 ст. 108 АПК РФ); такие доказательства кредитор не представил.</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Судебные расходы могут быть отнесены на лицо, злоупотребляющее процессуальными правами, если это привело к затягиванию процесса (ч. 2 ст. 111 АПК РФ). Верховный Суд Российской Федерации указал, что расходы на экспертизу, назначенную по необоснованному ходатайству кредитора, заведомо не соответствовавшему требованиям процессуального законодательства, не могут быть переложены на должника, возражавшего против её назначения, равно как и на других конкурсных кредиторов (Определение СКЭС ВС РФ от 12.10.2026 № 308-ЭС24-8288(3)). Должник заявляет возражения заблаговременно, до разрешения ходатайства.</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Если суд придёт к выводу о необходимости экспертизы, должник в соответствии с ч. 2 и 3 ст. 82 АПК РФ просит ограничить её предмет вопросом, требующим специальных знаний, и предлагает кандидатуру эксперта.</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41, 67, 71, 82, 108, 111, 159 АПК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Отказать </w:t>
      </w:r>
      <w:r>
        <w:rPr>
          <w:rFonts w:ascii="Times New Roman" w:hAnsi="Times New Roman" w:eastAsia="Times New Roman"/>
          <w:b w:val="0"/>
          <w:i w:val="0"/>
          <w:color w:val="1A1A1A"/>
          <w:sz w:val="28"/>
        </w:rPr>
        <w:t>[наименование или ФИО кредитора]</w:t>
      </w:r>
      <w:r>
        <w:rPr>
          <w:rFonts w:ascii="Times New Roman" w:hAnsi="Times New Roman" w:eastAsia="Times New Roman"/>
          <w:b w:val="0"/>
          <w:i w:val="0"/>
          <w:color w:val="1A1A1A"/>
          <w:sz w:val="28"/>
        </w:rPr>
        <w:t xml:space="preserve"> в удовлетворении ходатайства о назначении судебной экспертизы.</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В случае назначения экспертизы не ставить перед экспертом вопросы о соответствии соглашения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требованиям законодательства, о том, является ли оно документом, и о размере задолженности, а поставить вопрос: «</w:t>
      </w:r>
      <w:r>
        <w:rPr>
          <w:rFonts w:ascii="Times New Roman" w:hAnsi="Times New Roman" w:eastAsia="Times New Roman"/>
          <w:b w:val="0"/>
          <w:i w:val="0"/>
          <w:color w:val="1A1A1A"/>
          <w:sz w:val="28"/>
        </w:rPr>
        <w:t>[вопрос, требующий специальных знаний, например: соответствует ли время выполнения подписи от имени [ФИО]</w:t>
      </w:r>
      <w:r>
        <w:rPr>
          <w:rFonts w:ascii="Times New Roman" w:hAnsi="Times New Roman" w:eastAsia="Times New Roman"/>
          <w:b w:val="0"/>
          <w:i w:val="0"/>
          <w:color w:val="1A1A1A"/>
          <w:sz w:val="28"/>
        </w:rPr>
        <w:t xml:space="preserve"> на соглашении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дате, указанной в документе]?».</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В случае назначения экспертизы поручить её проведение </w:t>
      </w:r>
      <w:r>
        <w:rPr>
          <w:rFonts w:ascii="Times New Roman" w:hAnsi="Times New Roman" w:eastAsia="Times New Roman"/>
          <w:b w:val="0"/>
          <w:i w:val="0"/>
          <w:color w:val="1A1A1A"/>
          <w:sz w:val="28"/>
        </w:rPr>
        <w:t>[наименование экспертного учреждения]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стоимость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срок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рабочих дней, и обязать кредитора внести сумму, подлежащую выплате эксперту, на депозитный счёт суда в установленный судом срок.</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Отнести судебные расходы, связанные с ходатайством о назначении экспертизы, на </w:t>
      </w:r>
      <w:r>
        <w:rPr>
          <w:rFonts w:ascii="Times New Roman" w:hAnsi="Times New Roman" w:eastAsia="Times New Roman"/>
          <w:b w:val="0"/>
          <w:i w:val="0"/>
          <w:color w:val="1A1A1A"/>
          <w:sz w:val="28"/>
        </w:rPr>
        <w:t>[наименование или ФИО кредитора]</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Копии соглашений о погашении долга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Копии платёжных поручений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Расчёт задолженности должника.</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Письмо </w:t>
      </w:r>
      <w:r>
        <w:rPr>
          <w:rFonts w:ascii="Times New Roman" w:hAnsi="Times New Roman" w:eastAsia="Times New Roman"/>
          <w:b w:val="0"/>
          <w:i w:val="0"/>
          <w:color w:val="1A1A1A"/>
          <w:sz w:val="28"/>
        </w:rPr>
        <w:t>[наименование экспертного учреждения]</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 возможности, сроках и стоимости проведения экспертизы.</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Доказательства направления возражений кредитору и финансовому управляющему.</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Копия доверенности представителя.</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представителя должника]</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Возражения на ходатайство о назначении судебной экспертизы</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