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[Следователю / старшему следователю]</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[наименование следственного органа]</w:t>
      </w:r>
    </w:p>
    <w:p>
      <w:pPr>
        <w:spacing w:before="0" w:after="0" w:line="240" w:lineRule="auto"/>
        <w:jc w:val="right"/>
      </w:pPr>
      <w:r>
        <w:rPr>
          <w:rFonts w:ascii="Times New Roman" w:hAnsi="Times New Roman" w:eastAsia="Times New Roman"/>
          <w:b w:val="0"/>
          <w:i w:val="0"/>
          <w:color w:val="1A1A1A"/>
          <w:sz w:val="28"/>
        </w:rPr>
        <w:t>[специальное звание / классный чин]</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следователя]</w:t>
      </w:r>
    </w:p>
    <w:p>
      <w:pPr>
        <w:spacing w:before="0" w:after="0" w:line="240" w:lineRule="auto"/>
        <w:jc w:val="right"/>
      </w:pPr>
      <w:r>
        <w:rPr>
          <w:rFonts w:ascii="Times New Roman" w:hAnsi="Times New Roman" w:eastAsia="Times New Roman"/>
          <w:b w:val="0"/>
          <w:i w:val="0"/>
          <w:color w:val="1A1A1A"/>
          <w:sz w:val="28"/>
        </w:rPr>
        <w:t>[адрес следственного органа]</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Защитник обвиняемого:</w:t>
      </w:r>
      <w:r>
        <w:rPr>
          <w:rFonts w:ascii="Times New Roman" w:hAnsi="Times New Roman" w:eastAsia="Times New Roman"/>
          <w:b w:val="0"/>
          <w:i w:val="0"/>
          <w:color w:val="1A1A1A"/>
          <w:sz w:val="28"/>
        </w:rPr>
        <w:t xml:space="preserve"> адвокат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регистрационный номер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 реестре адвокатов </w:t>
      </w:r>
      <w:r>
        <w:rPr>
          <w:rFonts w:ascii="Times New Roman" w:hAnsi="Times New Roman" w:eastAsia="Times New Roman"/>
          <w:b w:val="0"/>
          <w:i w:val="0"/>
          <w:color w:val="1A1A1A"/>
          <w:sz w:val="28"/>
        </w:rPr>
        <w:t>[наименование субъекта Российской Федерации]</w:t>
      </w:r>
      <w:r>
        <w:rPr>
          <w:rFonts w:ascii="Times New Roman" w:hAnsi="Times New Roman" w:eastAsia="Times New Roman"/>
          <w:b w:val="0"/>
          <w:i w:val="0"/>
          <w:color w:val="1A1A1A"/>
          <w:sz w:val="28"/>
        </w:rPr>
        <w:t xml:space="preserve">, ордер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 адвокатского образования]</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 xml:space="preserve">Уголовное дело № </w:t>
      </w:r>
      <w:r>
        <w:rPr>
          <w:rFonts w:ascii="Times New Roman" w:hAnsi="Times New Roman" w:eastAsia="Times New Roman"/>
          <w:b w:val="0"/>
          <w:i w:val="0"/>
          <w:color w:val="1A1A1A"/>
          <w:sz w:val="28"/>
        </w:rPr>
        <w:t>[номер]</w:t>
      </w:r>
    </w:p>
    <w:p>
      <w:pPr>
        <w:keepNext/>
        <w:spacing w:before="240" w:after="240" w:line="240" w:lineRule="auto"/>
        <w:jc w:val="center"/>
      </w:pPr>
      <w:r>
        <w:rPr>
          <w:rFonts w:ascii="Times New Roman" w:hAnsi="Times New Roman" w:eastAsia="Times New Roman"/>
          <w:b/>
          <w:color w:val="000000"/>
          <w:sz w:val="28"/>
        </w:rPr>
        <w:t>ХОДАТАЙСТВО</w:t>
      </w:r>
    </w:p>
    <w:p>
      <w:pPr>
        <w:keepNext/>
        <w:spacing w:before="200" w:after="160" w:line="240" w:lineRule="auto"/>
        <w:jc w:val="center"/>
      </w:pPr>
      <w:r>
        <w:rPr>
          <w:rFonts w:ascii="Times New Roman" w:hAnsi="Times New Roman" w:eastAsia="Times New Roman"/>
          <w:b/>
          <w:i w:val="0"/>
          <w:color w:val="1A1A1A"/>
          <w:sz w:val="28"/>
        </w:rPr>
        <w:t>о проведении очной ставки</w:t>
      </w:r>
    </w:p>
    <w:p>
      <w:pPr>
        <w:spacing w:before="0" w:after="120" w:line="276" w:lineRule="auto"/>
        <w:ind w:firstLine="709"/>
        <w:jc w:val="both"/>
      </w:pPr>
      <w:r>
        <w:rPr>
          <w:rFonts w:ascii="Times New Roman" w:hAnsi="Times New Roman" w:eastAsia="Times New Roman"/>
          <w:b w:val="0"/>
          <w:i w:val="0"/>
          <w:color w:val="1A1A1A"/>
          <w:sz w:val="28"/>
        </w:rPr>
        <w:t xml:space="preserve">В производстве </w:t>
      </w:r>
      <w:r>
        <w:rPr>
          <w:rFonts w:ascii="Times New Roman" w:hAnsi="Times New Roman" w:eastAsia="Times New Roman"/>
          <w:b w:val="0"/>
          <w:i w:val="0"/>
          <w:color w:val="1A1A1A"/>
          <w:sz w:val="28"/>
        </w:rPr>
        <w:t>[наименование следственного органа]</w:t>
      </w:r>
      <w:r>
        <w:rPr>
          <w:rFonts w:ascii="Times New Roman" w:hAnsi="Times New Roman" w:eastAsia="Times New Roman"/>
          <w:b w:val="0"/>
          <w:i w:val="0"/>
          <w:color w:val="1A1A1A"/>
          <w:sz w:val="28"/>
        </w:rPr>
        <w:t xml:space="preserve"> находится уголовное дело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возбуждённое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признакам преступления, предусмотренного </w:t>
      </w:r>
      <w:r>
        <w:rPr>
          <w:rFonts w:ascii="Times New Roman" w:hAnsi="Times New Roman" w:eastAsia="Times New Roman"/>
          <w:b w:val="0"/>
          <w:i w:val="0"/>
          <w:color w:val="1A1A1A"/>
          <w:sz w:val="28"/>
        </w:rPr>
        <w:t>[часть, статья УК РФ]</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привлечён в качестве обвиняемого по </w:t>
      </w:r>
      <w:r>
        <w:rPr>
          <w:rFonts w:ascii="Times New Roman" w:hAnsi="Times New Roman" w:eastAsia="Times New Roman"/>
          <w:b w:val="0"/>
          <w:i w:val="0"/>
          <w:color w:val="1A1A1A"/>
          <w:sz w:val="28"/>
        </w:rPr>
        <w:t>[часть, статья УК РФ]</w:t>
      </w:r>
      <w:r>
        <w:rPr>
          <w:rFonts w:ascii="Times New Roman" w:hAnsi="Times New Roman" w:eastAsia="Times New Roman"/>
          <w:b w:val="0"/>
          <w:i w:val="0"/>
          <w:color w:val="1A1A1A"/>
          <w:sz w:val="28"/>
        </w:rPr>
        <w:t xml:space="preserve">. Я осуществляю его защиту на основании ордера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допрошен </w:t>
      </w:r>
      <w:r>
        <w:rPr>
          <w:rFonts w:ascii="Times New Roman" w:hAnsi="Times New Roman" w:eastAsia="Times New Roman"/>
          <w:b w:val="0"/>
          <w:i w:val="0"/>
          <w:color w:val="1A1A1A"/>
          <w:sz w:val="28"/>
        </w:rPr>
        <w:t>[свидетель / потерпевший]</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(далее — свидетель). Свидетель показал, что </w:t>
      </w:r>
      <w:r>
        <w:rPr>
          <w:rFonts w:ascii="Times New Roman" w:hAnsi="Times New Roman" w:eastAsia="Times New Roman"/>
          <w:b w:val="0"/>
          <w:i w:val="0"/>
          <w:color w:val="1A1A1A"/>
          <w:sz w:val="28"/>
        </w:rPr>
        <w:t>[краткое содержание показаний по спорным обстоятельствам: время, место, роль обвиняемого, конкретные действия]</w:t>
      </w:r>
      <w:r>
        <w:rPr>
          <w:rFonts w:ascii="Times New Roman" w:hAnsi="Times New Roman" w:eastAsia="Times New Roman"/>
          <w:b w:val="0"/>
          <w:i w:val="0"/>
          <w:color w:val="1A1A1A"/>
          <w:sz w:val="28"/>
        </w:rPr>
        <w:t xml:space="preserve"> (протокол допроса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л. д.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обвиняемый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допрошен в присутствии защитника и показал, что </w:t>
      </w:r>
      <w:r>
        <w:rPr>
          <w:rFonts w:ascii="Times New Roman" w:hAnsi="Times New Roman" w:eastAsia="Times New Roman"/>
          <w:b w:val="0"/>
          <w:i w:val="0"/>
          <w:color w:val="1A1A1A"/>
          <w:sz w:val="28"/>
        </w:rPr>
        <w:t>[краткое содержание показаний по тем же обстоятельствам]</w:t>
      </w:r>
      <w:r>
        <w:rPr>
          <w:rFonts w:ascii="Times New Roman" w:hAnsi="Times New Roman" w:eastAsia="Times New Roman"/>
          <w:b w:val="0"/>
          <w:i w:val="0"/>
          <w:color w:val="1A1A1A"/>
          <w:sz w:val="28"/>
        </w:rPr>
        <w:t xml:space="preserve"> (протокол допроса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л. д.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Показания свидетеля и обвиняемого противоречат друг другу в следующем:</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[обстоятельство 1: например, присутствовал ли обвиняемый на месте события [дата]</w:t>
      </w:r>
      <w:r>
        <w:rPr>
          <w:rFonts w:ascii="Times New Roman" w:hAnsi="Times New Roman" w:eastAsia="Times New Roman"/>
          <w:b w:val="0"/>
          <w:i w:val="0"/>
          <w:color w:val="1A1A1A"/>
          <w:sz w:val="28"/>
        </w:rPr>
        <w:t xml:space="preserve"> в </w:t>
      </w:r>
      <w:r>
        <w:rPr>
          <w:rFonts w:ascii="Times New Roman" w:hAnsi="Times New Roman" w:eastAsia="Times New Roman"/>
          <w:b w:val="0"/>
          <w:i w:val="0"/>
          <w:color w:val="1A1A1A"/>
          <w:sz w:val="28"/>
        </w:rPr>
        <w:t>[время]</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[обстоятельство 2: например, кто именно передал денежные средства и в каком размере]</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[обстоятельство 3: например, о чём договаривались свидетель и обвиняемый [дата]</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Очная ставка между обвиняемым и свидетелем не проводилась. </w:t>
      </w:r>
      <w:r>
        <w:rPr>
          <w:rFonts w:ascii="Times New Roman" w:hAnsi="Times New Roman" w:eastAsia="Times New Roman"/>
          <w:b w:val="0"/>
          <w:i w:val="0"/>
          <w:color w:val="1A1A1A"/>
          <w:sz w:val="28"/>
        </w:rPr>
        <w:t>[Свидетель проживает за пределами [наименование субъекта Российской Федерации]</w:t>
      </w:r>
      <w:r>
        <w:rPr>
          <w:rFonts w:ascii="Times New Roman" w:hAnsi="Times New Roman" w:eastAsia="Times New Roman"/>
          <w:b w:val="0"/>
          <w:i w:val="0"/>
          <w:color w:val="1A1A1A"/>
          <w:sz w:val="28"/>
        </w:rPr>
        <w:t xml:space="preserve"> / сообщил о намерении выехать за пределы Российской Федерации / иные обстоятельства, создающие риск его неявки в судебное заседание].</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Если в показаниях ранее допрошенных лиц имеются существенные противоречия, следователь вправе провести очную ставку (ч. 1 ст. 192 УПК РФ). Указанные противоречия касаются </w:t>
      </w:r>
      <w:r>
        <w:rPr>
          <w:rFonts w:ascii="Times New Roman" w:hAnsi="Times New Roman" w:eastAsia="Times New Roman"/>
          <w:b w:val="0"/>
          <w:i w:val="0"/>
          <w:color w:val="1A1A1A"/>
          <w:sz w:val="28"/>
        </w:rPr>
        <w:t>[события преступления / причастности обвиняемого / формы вины]</w:t>
      </w:r>
      <w:r>
        <w:rPr>
          <w:rFonts w:ascii="Times New Roman" w:hAnsi="Times New Roman" w:eastAsia="Times New Roman"/>
          <w:b w:val="0"/>
          <w:i w:val="0"/>
          <w:color w:val="1A1A1A"/>
          <w:sz w:val="28"/>
        </w:rPr>
        <w:t xml:space="preserve">, то есть обстоятельств, подлежащих доказыванию по уголовному делу (п. 1, 2 ч. 1 ст. 73 УПК РФ). Без их устранения установить эти обстоятельства невозможно: других очевидцев событий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нет, иные доказательства </w:t>
      </w:r>
      <w:r>
        <w:rPr>
          <w:rFonts w:ascii="Times New Roman" w:hAnsi="Times New Roman" w:eastAsia="Times New Roman"/>
          <w:b w:val="0"/>
          <w:i w:val="0"/>
          <w:color w:val="1A1A1A"/>
          <w:sz w:val="28"/>
        </w:rPr>
        <w:t>[описание]</w:t>
      </w:r>
      <w:r>
        <w:rPr>
          <w:rFonts w:ascii="Times New Roman" w:hAnsi="Times New Roman" w:eastAsia="Times New Roman"/>
          <w:b w:val="0"/>
          <w:i w:val="0"/>
          <w:color w:val="1A1A1A"/>
          <w:sz w:val="28"/>
        </w:rPr>
        <w:t xml:space="preserve"> противоречия не разрешают.</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Обвиняемый вправе представлять доказательства, заявлять ходатайства и участвовать с разрешения следователя в следственных действиях, производимых по его ходатайству или ходатайству защитника (п. 4, 5, 10 ч. 4 ст. 47 УПК РФ). Защитник вправе собирать и представлять доказательства, участвовать в следственных действиях, производимых с участием обвиняемого либо по его ходатайству или ходатайству самого защитника, заявлять ходатайства (п. 2, 5, 8 ч. 1 ст. 53 УПК РФ). Ходатайство о производстве процессуальных действий для установления обстоятельств, имеющих значение для уголовного дела, может быть заявлено в любой момент производства по делу (ч. 1 ст. 119, ч. 1 ст. 120 УПК РФ).</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Обвиняемому и его защитнику не может быть отказано в производстве следственных действий, если обстоятельства, об установлении которых они ходатайствуют, имеют значение для данного уголовного дела (ч. 2 ст. 159 УПК РФ). Правомочие следователя самостоятельно направлять ход расследования (п. 3 ч. 2 ст. 38 УПК РФ) не освобождает его от этой обязанности.</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Очная ставка необходима именно на стадии предварительного расследования. В случае неявки свидетеля в судебное заседание по основаниям, предусмотренным пунктами 2–5 части второй статьи 281 УПК РФ, его показания могут быть оглашены лишь при условии, что обвиняемому на предыдущих стадиях производства по делу была предоставлена возможность оспорить эти доказательства предусмотренными законом способами (ч. 2.1 ст. 281 УПК РФ). Оглашение без согласия стороны показаний неявившегося свидетеля допускается только при этом условии (абз. 2 п. 11 постановления Пленума Верховного Суда РФ от 19.12.2017 № 51 «О практике применения законодательства при рассмотрении уголовных дел в суде первой инстанции (общий порядок судопроизводства)»). Очная ставка — следственное действие, которое позволяет обвиняемому лично и с участием защитника задать вопросы свидетелю, показания которого направлены против него. Отказ в её проведении лишит обвиняемого такой возможности и поставит под сомнение допустимость использования показаний свидетеля при их оглашении в суде.</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Защитнику не может быть отказано в участии в следственных действиях, производимых по его ходатайству (ч. 2.1 ст. 159 УПК РФ).</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Ходатайство подлежит разрешению непосредственно после заявления, а если это невозможно — не позднее 3 суток со дня его заявления (ст. 121 УПК РФ). О принятом решении следователь выносит постановление, которое доводится до сведения заявителя (ст. 122, ч. 3 ст. 159 УПК РФ).</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ст. 47, 53, 119–122, 159, 192 УПК РФ,</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Провести очную ставку между обвиняемым </w:t>
      </w:r>
      <w:r>
        <w:rPr>
          <w:rFonts w:ascii="Times New Roman" w:hAnsi="Times New Roman" w:eastAsia="Times New Roman"/>
          <w:b w:val="0"/>
          <w:i w:val="0"/>
          <w:color w:val="1A1A1A"/>
          <w:sz w:val="28"/>
        </w:rPr>
        <w:t>[ФИО подзащитного]</w:t>
      </w:r>
      <w:r>
        <w:rPr>
          <w:rFonts w:ascii="Times New Roman" w:hAnsi="Times New Roman" w:eastAsia="Times New Roman"/>
          <w:b w:val="0"/>
          <w:i w:val="0"/>
          <w:color w:val="1A1A1A"/>
          <w:sz w:val="28"/>
        </w:rPr>
        <w:t xml:space="preserve"> и </w:t>
      </w:r>
      <w:r>
        <w:rPr>
          <w:rFonts w:ascii="Times New Roman" w:hAnsi="Times New Roman" w:eastAsia="Times New Roman"/>
          <w:b w:val="0"/>
          <w:i w:val="0"/>
          <w:color w:val="1A1A1A"/>
          <w:sz w:val="28"/>
        </w:rPr>
        <w:t>[свидетелем / потерпевшим]</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для устранения существенных противоречий в их показаниях относительно: </w:t>
      </w:r>
      <w:r>
        <w:rPr>
          <w:rFonts w:ascii="Times New Roman" w:hAnsi="Times New Roman" w:eastAsia="Times New Roman"/>
          <w:b w:val="0"/>
          <w:i w:val="0"/>
          <w:color w:val="1A1A1A"/>
          <w:sz w:val="28"/>
        </w:rPr>
        <w:t>[перечень обстоятельств 1–3]</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Заблаговременно уведомить защитника о месте и времени проведения очной ставки и обеспечить его участие в ней (ч. 2.1 ст. 159 УПК РФ).</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Разрешить ходатайство в срок, установленный ст. 121 УПК РФ, и вручить защитнику копию постановления, вынесенного по результатам его рассмотрения (ст. 122 УПК РФ).</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 xml:space="preserve">Защитник обвиняемого </w:t>
      </w:r>
      <w:r>
        <w:rPr>
          <w:rFonts w:ascii="Times New Roman" w:hAnsi="Times New Roman" w:eastAsia="Times New Roman"/>
          <w:b w:val="0"/>
          <w:i w:val="0"/>
          <w:color w:val="1A1A1A"/>
          <w:sz w:val="28"/>
        </w:rPr>
        <w:t>[ФИО подзащитного]</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 адвоката]</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Ходатайство защитника о проведении очной ставки</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