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 xml:space="preserve">В Арбитражный суд </w:t>
      </w:r>
      <w:r>
        <w:rPr>
          <w:rFonts w:ascii="Times New Roman" w:hAnsi="Times New Roman" w:eastAsia="Times New Roman"/>
          <w:b w:val="0"/>
          <w:i w:val="0"/>
          <w:color w:val="1A1A1A"/>
          <w:sz w:val="28"/>
        </w:rPr>
        <w:t>[наименование субъекта РФ]</w:t>
      </w:r>
    </w:p>
    <w:p>
      <w:pPr>
        <w:spacing w:before="0" w:after="0" w:line="240" w:lineRule="auto"/>
        <w:jc w:val="right"/>
      </w:pPr>
      <w:r>
        <w:rPr>
          <w:rFonts w:ascii="Times New Roman" w:hAnsi="Times New Roman" w:eastAsia="Times New Roman"/>
          <w:b w:val="0"/>
          <w:i w:val="0"/>
          <w:color w:val="1A1A1A"/>
          <w:sz w:val="28"/>
        </w:rPr>
        <w:t>[адрес суда]</w:t>
      </w:r>
    </w:p>
    <w:p>
      <w:pPr>
        <w:spacing w:before="0" w:after="0" w:line="240" w:lineRule="auto"/>
        <w:jc w:val="right"/>
      </w:pPr>
      <w:r>
        <w:rPr>
          <w:rFonts w:ascii="Times New Roman" w:hAnsi="Times New Roman" w:eastAsia="Times New Roman"/>
          <w:b w:val="0"/>
          <w:i w:val="0"/>
          <w:color w:val="1A1A1A"/>
          <w:sz w:val="28"/>
        </w:rPr>
        <w:t xml:space="preserve">судье </w:t>
      </w:r>
      <w:r>
        <w:rPr>
          <w:rFonts w:ascii="Times New Roman" w:hAnsi="Times New Roman" w:eastAsia="Times New Roman"/>
          <w:b w:val="0"/>
          <w:i w:val="0"/>
          <w:color w:val="1A1A1A"/>
          <w:sz w:val="28"/>
        </w:rPr>
        <w:t>[ФИО судьи]</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Истец:</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 контрагента]</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Ответчик:</w:t>
      </w:r>
      <w:r>
        <w:rPr>
          <w:rFonts w:ascii="Times New Roman" w:hAnsi="Times New Roman" w:eastAsia="Times New Roman"/>
          <w:b w:val="0"/>
          <w:i w:val="0"/>
          <w:color w:val="1A1A1A"/>
          <w:sz w:val="28"/>
        </w:rPr>
        <w:t xml:space="preserve"> Общество с ограниченной ответственностью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w:t>
      </w:r>
    </w:p>
    <w:p>
      <w:pPr>
        <w:spacing w:before="0" w:after="0" w:line="240" w:lineRule="auto"/>
        <w:jc w:val="right"/>
      </w:pPr>
      <w:r>
        <w:rPr>
          <w:rFonts w:ascii="Times New Roman" w:hAnsi="Times New Roman" w:eastAsia="Times New Roman"/>
          <w:b w:val="0"/>
          <w:i w:val="0"/>
          <w:color w:val="1A1A1A"/>
          <w:sz w:val="28"/>
        </w:rPr>
        <w:t xml:space="preserve">ИНН </w:t>
      </w:r>
      <w:r>
        <w:rPr>
          <w:rFonts w:ascii="Times New Roman" w:hAnsi="Times New Roman" w:eastAsia="Times New Roman"/>
          <w:b w:val="0"/>
          <w:i w:val="0"/>
          <w:color w:val="1A1A1A"/>
          <w:sz w:val="28"/>
        </w:rPr>
        <w:t>[ИНН]</w:t>
      </w:r>
      <w:r>
        <w:rPr>
          <w:rFonts w:ascii="Times New Roman" w:hAnsi="Times New Roman" w:eastAsia="Times New Roman"/>
          <w:b w:val="0"/>
          <w:i w:val="0"/>
          <w:color w:val="1A1A1A"/>
          <w:sz w:val="28"/>
        </w:rPr>
        <w:t xml:space="preserve">, ОГРН </w:t>
      </w:r>
      <w:r>
        <w:rPr>
          <w:rFonts w:ascii="Times New Roman" w:hAnsi="Times New Roman" w:eastAsia="Times New Roman"/>
          <w:b w:val="0"/>
          <w:i w:val="0"/>
          <w:color w:val="1A1A1A"/>
          <w:sz w:val="28"/>
        </w:rPr>
        <w:t>[ОГРН]</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Представитель ответчика: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доверенность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Лицо, у которого находятся доказательства:</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[наименование инспекции]</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val="0"/>
          <w:i w:val="0"/>
          <w:color w:val="1A1A1A"/>
          <w:sz w:val="28"/>
        </w:rPr>
        <w:t xml:space="preserve">Дело № </w:t>
      </w:r>
      <w:r>
        <w:rPr>
          <w:rFonts w:ascii="Times New Roman" w:hAnsi="Times New Roman" w:eastAsia="Times New Roman"/>
          <w:b w:val="0"/>
          <w:i w:val="0"/>
          <w:color w:val="1A1A1A"/>
          <w:sz w:val="28"/>
        </w:rPr>
        <w:t>[номер дела А__-____/2026]</w:t>
      </w:r>
    </w:p>
    <w:p>
      <w:pPr>
        <w:keepNext/>
        <w:spacing w:before="240" w:after="240" w:line="240" w:lineRule="auto"/>
        <w:jc w:val="center"/>
      </w:pPr>
      <w:r>
        <w:rPr>
          <w:rFonts w:ascii="Times New Roman" w:hAnsi="Times New Roman" w:eastAsia="Times New Roman"/>
          <w:b/>
          <w:color w:val="000000"/>
          <w:sz w:val="28"/>
        </w:rPr>
        <w:t>ХОДАТАЙСТВО</w:t>
      </w:r>
    </w:p>
    <w:p>
      <w:pPr>
        <w:keepNext/>
        <w:spacing w:before="200" w:after="160" w:line="240" w:lineRule="auto"/>
        <w:jc w:val="center"/>
      </w:pPr>
      <w:r>
        <w:rPr>
          <w:rFonts w:ascii="Times New Roman" w:hAnsi="Times New Roman" w:eastAsia="Times New Roman"/>
          <w:b/>
          <w:i w:val="0"/>
          <w:color w:val="1A1A1A"/>
          <w:sz w:val="28"/>
        </w:rPr>
        <w:t>об истребовании доказательств у налогового органа</w:t>
      </w:r>
    </w:p>
    <w:p>
      <w:pPr>
        <w:spacing w:before="0" w:after="120" w:line="276" w:lineRule="auto"/>
        <w:ind w:firstLine="709"/>
        <w:jc w:val="both"/>
      </w:pPr>
      <w:r>
        <w:rPr>
          <w:rFonts w:ascii="Times New Roman" w:hAnsi="Times New Roman" w:eastAsia="Times New Roman"/>
          <w:b w:val="0"/>
          <w:i w:val="0"/>
          <w:color w:val="1A1A1A"/>
          <w:sz w:val="28"/>
        </w:rPr>
        <w:t xml:space="preserve">В производстве Арбитражного суда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находится дело № </w:t>
      </w:r>
      <w:r>
        <w:rPr>
          <w:rFonts w:ascii="Times New Roman" w:hAnsi="Times New Roman" w:eastAsia="Times New Roman"/>
          <w:b w:val="0"/>
          <w:i w:val="0"/>
          <w:color w:val="1A1A1A"/>
          <w:sz w:val="28"/>
        </w:rPr>
        <w:t>[номер дела А__-____/2026]</w:t>
      </w:r>
      <w:r>
        <w:rPr>
          <w:rFonts w:ascii="Times New Roman" w:hAnsi="Times New Roman" w:eastAsia="Times New Roman"/>
          <w:b w:val="0"/>
          <w:i w:val="0"/>
          <w:color w:val="1A1A1A"/>
          <w:sz w:val="28"/>
        </w:rPr>
        <w:t xml:space="preserve"> по иску Общества с ограниченной ответственностью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(далее — Истец) к Обществу с ограниченной ответственностью «</w:t>
      </w:r>
      <w:r>
        <w:rPr>
          <w:rFonts w:ascii="Times New Roman" w:hAnsi="Times New Roman" w:eastAsia="Times New Roman"/>
          <w:b w:val="0"/>
          <w:i w:val="0"/>
          <w:color w:val="1A1A1A"/>
          <w:sz w:val="28"/>
        </w:rPr>
        <w:t>[наименование ответчика]</w:t>
      </w:r>
      <w:r>
        <w:rPr>
          <w:rFonts w:ascii="Times New Roman" w:hAnsi="Times New Roman" w:eastAsia="Times New Roman"/>
          <w:b w:val="0"/>
          <w:i w:val="0"/>
          <w:color w:val="1A1A1A"/>
          <w:sz w:val="28"/>
        </w:rPr>
        <w:t xml:space="preserve">» (далее — Ответчик) о взыскании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задолженности по договору подряда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и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 неустойки. Иск основан на односторонних актах о приёмке выполненных работ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которые Ответчик не подписал, направив Истцу мотивированный отказ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Ответчик оспаривает сам факт выполнения работ Истцом. Работы на объекте по адресу </w:t>
      </w:r>
      <w:r>
        <w:rPr>
          <w:rFonts w:ascii="Times New Roman" w:hAnsi="Times New Roman" w:eastAsia="Times New Roman"/>
          <w:b w:val="0"/>
          <w:i w:val="0"/>
          <w:color w:val="1A1A1A"/>
          <w:sz w:val="28"/>
        </w:rPr>
        <w:t>[адрес объекта]</w:t>
      </w:r>
      <w:r>
        <w:rPr>
          <w:rFonts w:ascii="Times New Roman" w:hAnsi="Times New Roman" w:eastAsia="Times New Roman"/>
          <w:b w:val="0"/>
          <w:i w:val="0"/>
          <w:color w:val="1A1A1A"/>
          <w:sz w:val="28"/>
        </w:rPr>
        <w:t xml:space="preserve">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выполнены </w:t>
      </w:r>
      <w:r>
        <w:rPr>
          <w:rFonts w:ascii="Times New Roman" w:hAnsi="Times New Roman" w:eastAsia="Times New Roman"/>
          <w:b w:val="0"/>
          <w:i w:val="0"/>
          <w:color w:val="1A1A1A"/>
          <w:sz w:val="28"/>
        </w:rPr>
        <w:t>[собственными силами Ответчика / Обществом с ограниченной ответственностью «[наименование]</w:t>
      </w:r>
      <w:r>
        <w:rPr>
          <w:rFonts w:ascii="Times New Roman" w:hAnsi="Times New Roman" w:eastAsia="Times New Roman"/>
          <w:b w:val="0"/>
          <w:i w:val="0"/>
          <w:color w:val="1A1A1A"/>
          <w:sz w:val="28"/>
        </w:rPr>
        <w:t xml:space="preserve">» по договору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что подтверждается </w:t>
      </w:r>
      <w:r>
        <w:rPr>
          <w:rFonts w:ascii="Times New Roman" w:hAnsi="Times New Roman" w:eastAsia="Times New Roman"/>
          <w:b w:val="0"/>
          <w:i w:val="0"/>
          <w:color w:val="1A1A1A"/>
          <w:sz w:val="28"/>
        </w:rPr>
        <w:t>[общим журналом работ, исполнительной документацией, актами освидетельствования скрытых работ — указать]</w:t>
      </w:r>
      <w:r>
        <w:rPr>
          <w:rFonts w:ascii="Times New Roman" w:hAnsi="Times New Roman" w:eastAsia="Times New Roman"/>
          <w:b w:val="0"/>
          <w:i w:val="0"/>
          <w:color w:val="1A1A1A"/>
          <w:sz w:val="28"/>
        </w:rPr>
        <w:t xml:space="preserve">. По данным открытых источников (сведения, размещённые ФНС России в форме открытых данных в соответствии с п. 1.1 ст. 102 НК РФ), среднесписочная численность работников Истца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составила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человек, при этом объём спорных работ по расчёту Истца требовал </w:t>
      </w:r>
      <w:r>
        <w:rPr>
          <w:rFonts w:ascii="Times New Roman" w:hAnsi="Times New Roman" w:eastAsia="Times New Roman"/>
          <w:b w:val="0"/>
          <w:i w:val="0"/>
          <w:color w:val="1A1A1A"/>
          <w:sz w:val="28"/>
        </w:rPr>
        <w:t>[число]</w:t>
      </w:r>
      <w:r>
        <w:rPr>
          <w:rFonts w:ascii="Times New Roman" w:hAnsi="Times New Roman" w:eastAsia="Times New Roman"/>
          <w:b w:val="0"/>
          <w:i w:val="0"/>
          <w:color w:val="1A1A1A"/>
          <w:sz w:val="28"/>
        </w:rPr>
        <w:t xml:space="preserve"> человеко-часов, использования </w:t>
      </w:r>
      <w:r>
        <w:rPr>
          <w:rFonts w:ascii="Times New Roman" w:hAnsi="Times New Roman" w:eastAsia="Times New Roman"/>
          <w:b w:val="0"/>
          <w:i w:val="0"/>
          <w:color w:val="1A1A1A"/>
          <w:sz w:val="28"/>
        </w:rPr>
        <w:t>[наименование техники]</w:t>
      </w:r>
      <w:r>
        <w:rPr>
          <w:rFonts w:ascii="Times New Roman" w:hAnsi="Times New Roman" w:eastAsia="Times New Roman"/>
          <w:b w:val="0"/>
          <w:i w:val="0"/>
          <w:color w:val="1A1A1A"/>
          <w:sz w:val="28"/>
        </w:rPr>
        <w:t xml:space="preserve"> и закупки материалов на сумму не менее </w:t>
      </w:r>
      <w:r>
        <w:rPr>
          <w:rFonts w:ascii="Times New Roman" w:hAnsi="Times New Roman" w:eastAsia="Times New Roman"/>
          <w:b w:val="0"/>
          <w:i w:val="0"/>
          <w:color w:val="1A1A1A"/>
          <w:sz w:val="28"/>
        </w:rPr>
        <w:t>[сумма]</w:t>
      </w:r>
      <w:r>
        <w:rPr>
          <w:rFonts w:ascii="Times New Roman" w:hAnsi="Times New Roman" w:eastAsia="Times New Roman"/>
          <w:b w:val="0"/>
          <w:i w:val="0"/>
          <w:color w:val="1A1A1A"/>
          <w:sz w:val="28"/>
        </w:rPr>
        <w:t xml:space="preserve"> руб.</w:t>
      </w:r>
    </w:p>
    <w:p>
      <w:pPr>
        <w:spacing w:before="0" w:after="120" w:line="276" w:lineRule="auto"/>
        <w:ind w:firstLine="709"/>
        <w:jc w:val="both"/>
      </w:pPr>
      <w:r>
        <w:rPr>
          <w:rFonts w:ascii="Times New Roman" w:hAnsi="Times New Roman" w:eastAsia="Times New Roman"/>
          <w:b w:val="0"/>
          <w:i w:val="0"/>
          <w:color w:val="1A1A1A"/>
          <w:sz w:val="28"/>
        </w:rPr>
        <w:t xml:space="preserve">Для проверки того, мог ли Истец выполнить работы своими силами или с привлечением субподрядчиков, необходимы сведения, которые находятся только у налогового органа по месту учёта Истца. Ответчик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предложил Истцу представить эти сведения (письмо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Истец их не представил.</w:t>
      </w:r>
    </w:p>
    <w:p>
      <w:pPr>
        <w:keepNext/>
        <w:spacing w:before="200" w:after="160" w:line="240" w:lineRule="auto"/>
        <w:jc w:val="center"/>
      </w:pPr>
      <w:r>
        <w:rPr>
          <w:rFonts w:ascii="Times New Roman" w:hAnsi="Times New Roman" w:eastAsia="Times New Roman"/>
          <w:b/>
          <w:color w:val="000000"/>
          <w:sz w:val="28"/>
        </w:rPr>
        <w:t>Обоснование ходатайства</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Лицо, участвующее в деле и не имеющее возможности самостоятельно получить необходимое доказательство от лица, у которого оно находится, вправе обратиться в арбитражный суд с ходатайством об истребовании этого доказательства; в ходатайстве обозначается доказательство, указываются обстоятельства, которые могут быть им установлены, причины, препятствующие его получению, и место его нахождения (ч. 4 ст. 66 АПК РФ). Указывать конкретные реквизиты истребуемого доказательства или прикладывать доказательства его нахождения у соответствующего лица не требуется (абз. 1 п. 38 постановления Пленума Верховного Суда РФ от 23.12.2021 № 46 «О применении Арбитражного процессуального кодекса Российской Федерации при рассмотрении дел в суде первой инстанции»).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Обстоятельства, подлежащие установлению. Истец, требуя оплаты, обязан доказать выполнение работ (ч. 1 ст. 65 АПК РФ, ст. 702, 711 ГК РФ). Ответчик ссылается на то, что работы Истцом не выполнялись. Истребуемые сведения позволят установить: отражал ли Истец в налоговой отчётности реализацию работ Ответчику на заявленную сумму; приобретал ли он в спорный период материалы, услуги техники и работы субподрядчиков, необходимые для выполнения спорного объёма; располагал ли персоналом для выполнения работ. Эти обстоятельства имеют значение для дела и относятся к предмету доказывания (ст. 67 АПК РФ).</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Истребуемые доказательства и место их нахождения. Сведения находятся в </w:t>
      </w:r>
      <w:r>
        <w:rPr>
          <w:rFonts w:ascii="Times New Roman" w:hAnsi="Times New Roman" w:eastAsia="Times New Roman"/>
          <w:b w:val="0"/>
          <w:i w:val="0"/>
          <w:color w:val="1A1A1A"/>
          <w:sz w:val="28"/>
        </w:rPr>
        <w:t>[наименование инспекции]</w:t>
      </w:r>
      <w:r>
        <w:rPr>
          <w:rFonts w:ascii="Times New Roman" w:hAnsi="Times New Roman" w:eastAsia="Times New Roman"/>
          <w:b w:val="0"/>
          <w:i w:val="0"/>
          <w:color w:val="1A1A1A"/>
          <w:sz w:val="28"/>
        </w:rPr>
        <w:t>, в которой Истец состоит на учёте:</w:t>
      </w:r>
    </w:p>
    <w:p>
      <w:pPr>
        <w:spacing w:before="0" w:after="120" w:line="276" w:lineRule="auto"/>
        <w:ind w:firstLine="709"/>
        <w:jc w:val="both"/>
      </w:pPr>
      <w:r>
        <w:rPr>
          <w:rFonts w:ascii="Times New Roman" w:hAnsi="Times New Roman" w:eastAsia="Times New Roman"/>
          <w:b w:val="0"/>
          <w:i w:val="0"/>
          <w:color w:val="1A1A1A"/>
          <w:sz w:val="28"/>
        </w:rPr>
        <w:t xml:space="preserve">а) сведения из книги покупок и книги продаж (разделы 8 и 9 налоговых деклараций по НДС) Истца за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квартал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квартал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в части операций с Ответчиком и с контрагентами, у которых приобретались материалы, работы и услуги в указанный период;</w:t>
      </w:r>
    </w:p>
    <w:p>
      <w:pPr>
        <w:spacing w:before="0" w:after="120" w:line="276" w:lineRule="auto"/>
        <w:ind w:firstLine="709"/>
        <w:jc w:val="both"/>
      </w:pPr>
      <w:r>
        <w:rPr>
          <w:rFonts w:ascii="Times New Roman" w:hAnsi="Times New Roman" w:eastAsia="Times New Roman"/>
          <w:b w:val="0"/>
          <w:i w:val="0"/>
          <w:color w:val="1A1A1A"/>
          <w:sz w:val="28"/>
        </w:rPr>
        <w:t xml:space="preserve">б) сведения о численности застрахованных лиц, указанные Истцом в расчётах по страховым взносам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сведения о счетах Истца, открытых в банках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полученные налоговым органом в соответствии с п. 1.1 ст. 86 НК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Причины, препятствующие получению доказательств. Указанные сведения составляют налоговую тайну (п. 1 ст. 102 НК РФ), в перечень общедоступных сведений, размещаемых ФНС России в форме открытых данных, не входят и по запросу Ответчика как стороннего лица налоговым органом не представляются. Согласие Истца на их раскрытие (п. 2.3 ст. 102 НК РФ) отсутствует, от добровольного представления Истец уклонился. Получить сведения иначе, чем через суд, Ответчик не может.</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Режим налоговой тайны не препятствует истребованию. Запрет разглашения налоговой тайны действует, за исключением случаев, предусмотренных федеральным законом (п. 2 ст. 102 НК РФ). Обязанность лица, у которого находится доказательство, представить его в арбитражный суд по определению об истребовании установлена федеральным законом (ч. 6–9 ст. 66 АПК РФ). Для сохранения конфиденциальности сведений об операциях Истца с третьими лицами Ответчик не возражает против исследования истребованных доказательств в закрытом судебном заседании (ч. 2 ст. 11 АПК РФ).</w:t>
      </w:r>
    </w:p>
    <w:p>
      <w:pPr>
        <w:spacing w:before="0" w:after="120" w:line="276" w:lineRule="auto"/>
        <w:ind w:left="360" w:hanging="360"/>
        <w:jc w:val="both"/>
      </w:pPr>
      <w:r>
        <w:rPr>
          <w:rFonts w:ascii="Times New Roman" w:hAnsi="Times New Roman" w:eastAsia="Times New Roman"/>
          <w:color w:val="1A1A1A"/>
          <w:sz w:val="28"/>
        </w:rPr>
        <w:t xml:space="preserve">6. </w:t>
      </w:r>
      <w:r>
        <w:rPr>
          <w:rFonts w:ascii="Times New Roman" w:hAnsi="Times New Roman" w:eastAsia="Times New Roman"/>
          <w:b w:val="0"/>
          <w:i w:val="0"/>
          <w:color w:val="1A1A1A"/>
          <w:sz w:val="28"/>
        </w:rPr>
        <w:t>Объём истребования ограничен периодом выполнения спорных работ и операциями, относящимися к предмету спора. Сведения о результатах налоговых проверок Истца, о его задолженности и о применённом режиме налогообложения Ответчик не истребует, поскольку они являются общедоступными (подп. 3, 7 п. 1, п. 1.1 ст. 102 НК РФ).</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41, 65, 66, 67, 159 АПК РФ,</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Истребовать у </w:t>
      </w:r>
      <w:r>
        <w:rPr>
          <w:rFonts w:ascii="Times New Roman" w:hAnsi="Times New Roman" w:eastAsia="Times New Roman"/>
          <w:b w:val="0"/>
          <w:i w:val="0"/>
          <w:color w:val="1A1A1A"/>
          <w:sz w:val="28"/>
        </w:rPr>
        <w:t>[наименование инспекции]</w:t>
      </w:r>
      <w:r>
        <w:rPr>
          <w:rFonts w:ascii="Times New Roman" w:hAnsi="Times New Roman" w:eastAsia="Times New Roman"/>
          <w:b w:val="0"/>
          <w:i w:val="0"/>
          <w:color w:val="1A1A1A"/>
          <w:sz w:val="28"/>
        </w:rPr>
        <w:t xml:space="preserve"> (адрес: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в отношении Общества с ограниченной ответственностью «</w:t>
      </w:r>
      <w:r>
        <w:rPr>
          <w:rFonts w:ascii="Times New Roman" w:hAnsi="Times New Roman" w:eastAsia="Times New Roman"/>
          <w:b w:val="0"/>
          <w:i w:val="0"/>
          <w:color w:val="1A1A1A"/>
          <w:sz w:val="28"/>
        </w:rPr>
        <w:t>[наименование истца]</w:t>
      </w:r>
      <w:r>
        <w:rPr>
          <w:rFonts w:ascii="Times New Roman" w:hAnsi="Times New Roman" w:eastAsia="Times New Roman"/>
          <w:b w:val="0"/>
          <w:i w:val="0"/>
          <w:color w:val="1A1A1A"/>
          <w:sz w:val="28"/>
        </w:rPr>
        <w:t xml:space="preserve">» (ИНН </w:t>
      </w:r>
      <w:r>
        <w:rPr>
          <w:rFonts w:ascii="Times New Roman" w:hAnsi="Times New Roman" w:eastAsia="Times New Roman"/>
          <w:b w:val="0"/>
          <w:i w:val="0"/>
          <w:color w:val="1A1A1A"/>
          <w:sz w:val="28"/>
        </w:rPr>
        <w:t>[ИНН контрагента]</w:t>
      </w:r>
      <w:r>
        <w:rPr>
          <w:rFonts w:ascii="Times New Roman" w:hAnsi="Times New Roman" w:eastAsia="Times New Roman"/>
          <w:b w:val="0"/>
          <w:i w:val="0"/>
          <w:color w:val="1A1A1A"/>
          <w:sz w:val="28"/>
        </w:rPr>
        <w:t xml:space="preserve">) и представить непосредственно в Арбитражный суд </w:t>
      </w:r>
      <w:r>
        <w:rPr>
          <w:rFonts w:ascii="Times New Roman" w:hAnsi="Times New Roman" w:eastAsia="Times New Roman"/>
          <w:b w:val="0"/>
          <w:i w:val="0"/>
          <w:color w:val="1A1A1A"/>
          <w:sz w:val="28"/>
        </w:rPr>
        <w:t>[наименование субъекта РФ]</w:t>
      </w:r>
      <w:r>
        <w:rPr>
          <w:rFonts w:ascii="Times New Roman" w:hAnsi="Times New Roman" w:eastAsia="Times New Roman"/>
          <w:b w:val="0"/>
          <w:i w:val="0"/>
          <w:color w:val="1A1A1A"/>
          <w:sz w:val="28"/>
        </w:rPr>
        <w:t xml:space="preserve"> в установленный судом срок:</w:t>
      </w:r>
    </w:p>
    <w:p>
      <w:pPr>
        <w:spacing w:before="0" w:after="120" w:line="276" w:lineRule="auto"/>
        <w:ind w:firstLine="709"/>
        <w:jc w:val="both"/>
      </w:pPr>
      <w:r>
        <w:rPr>
          <w:rFonts w:ascii="Times New Roman" w:hAnsi="Times New Roman" w:eastAsia="Times New Roman"/>
          <w:b w:val="0"/>
          <w:i w:val="0"/>
          <w:color w:val="1A1A1A"/>
          <w:sz w:val="28"/>
        </w:rPr>
        <w:t xml:space="preserve">а) сведения из книги покупок и книги продаж (разделы 8 и 9 налоговых деклараций по НДС) за период с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квартала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квартал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б) сведения о численности застрахованных лиц, отражённые в расчётах по страховым взносам за </w:t>
      </w:r>
      <w:r>
        <w:rPr>
          <w:rFonts w:ascii="Times New Roman" w:hAnsi="Times New Roman" w:eastAsia="Times New Roman"/>
          <w:b w:val="0"/>
          <w:i w:val="0"/>
          <w:color w:val="1A1A1A"/>
          <w:sz w:val="28"/>
        </w:rPr>
        <w:t>[период]</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сведения о банковских счетах, открытых (закрытых) в период с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по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с указанием наименования банка и номера счёта.</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Направить копию определения об истребовании доказательств в </w:t>
      </w:r>
      <w:r>
        <w:rPr>
          <w:rFonts w:ascii="Times New Roman" w:hAnsi="Times New Roman" w:eastAsia="Times New Roman"/>
          <w:b w:val="0"/>
          <w:i w:val="0"/>
          <w:color w:val="1A1A1A"/>
          <w:sz w:val="28"/>
        </w:rPr>
        <w:t>[наименование инспекции]</w:t>
      </w:r>
      <w:r>
        <w:rPr>
          <w:rFonts w:ascii="Times New Roman" w:hAnsi="Times New Roman" w:eastAsia="Times New Roman"/>
          <w:b w:val="0"/>
          <w:i w:val="0"/>
          <w:color w:val="1A1A1A"/>
          <w:sz w:val="28"/>
        </w:rPr>
        <w:t xml:space="preserve"> и установить срок представления доказательств (ч. 6 ст. 66 АПК РФ).</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письма Ответчика Истцу от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с предложением представить сведения и доказательства его направления.</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Распечатка сведений о среднесписочной численности работников Истца за </w:t>
      </w:r>
      <w:r>
        <w:rPr>
          <w:rFonts w:ascii="Times New Roman" w:hAnsi="Times New Roman" w:eastAsia="Times New Roman"/>
          <w:b w:val="0"/>
          <w:i w:val="0"/>
          <w:color w:val="1A1A1A"/>
          <w:sz w:val="28"/>
        </w:rPr>
        <w:t>[год]</w:t>
      </w:r>
      <w:r>
        <w:rPr>
          <w:rFonts w:ascii="Times New Roman" w:hAnsi="Times New Roman" w:eastAsia="Times New Roman"/>
          <w:b w:val="0"/>
          <w:i w:val="0"/>
          <w:color w:val="1A1A1A"/>
          <w:sz w:val="28"/>
        </w:rPr>
        <w:t xml:space="preserve"> из открытых данных ФНС России.</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Документы, подтверждающие направление копии ходатайства Истцу.</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Копия доверенности представителя.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 представителя]</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об истребовании доказательств у налогового органа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