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районный суд </w:t>
      </w:r>
      <w:r>
        <w:rPr>
          <w:rFonts w:ascii="Times New Roman" w:hAnsi="Times New Roman" w:eastAsia="Times New Roman"/>
          <w:b w:val="0"/>
          <w:i w:val="0"/>
          <w:color w:val="1A1A1A"/>
          <w:sz w:val="28"/>
        </w:rPr>
        <w:t>[города]</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Административный истец:</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место содержания: ФКУ </w:t>
      </w:r>
      <w:r>
        <w:rPr>
          <w:rFonts w:ascii="Times New Roman" w:hAnsi="Times New Roman" w:eastAsia="Times New Roman"/>
          <w:b w:val="0"/>
          <w:i w:val="0"/>
          <w:color w:val="1A1A1A"/>
          <w:sz w:val="28"/>
        </w:rPr>
        <w:t>[наименование учреждения]</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Представитель административного истца:</w:t>
      </w:r>
      <w:r>
        <w:rPr>
          <w:rFonts w:ascii="Times New Roman" w:hAnsi="Times New Roman" w:eastAsia="Times New Roman"/>
          <w:b w:val="0"/>
          <w:i w:val="0"/>
          <w:color w:val="1A1A1A"/>
          <w:sz w:val="28"/>
        </w:rPr>
        <w:t xml:space="preserve"> адвокат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адвокатского образования]</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r>
        <w:rPr>
          <w:rFonts w:ascii="Times New Roman" w:hAnsi="Times New Roman" w:eastAsia="Times New Roman"/>
          <w:b w:val="0"/>
          <w:i w:val="0"/>
          <w:color w:val="1A1A1A"/>
          <w:sz w:val="28"/>
        </w:rPr>
        <w:t xml:space="preserve">доверенность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Административный ответчик:</w:t>
      </w:r>
      <w:r>
        <w:rPr>
          <w:rFonts w:ascii="Times New Roman" w:hAnsi="Times New Roman" w:eastAsia="Times New Roman"/>
          <w:b w:val="0"/>
          <w:i w:val="0"/>
          <w:color w:val="1A1A1A"/>
          <w:sz w:val="28"/>
        </w:rPr>
        <w:t xml:space="preserve"> ФКУ «Следственный изолятор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Управления Федеральной службы исполнения наказаний по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Административный ответчик:</w:t>
      </w:r>
      <w:r>
        <w:rPr>
          <w:rFonts w:ascii="Times New Roman" w:hAnsi="Times New Roman" w:eastAsia="Times New Roman"/>
          <w:b w:val="0"/>
          <w:i w:val="0"/>
          <w:color w:val="1A1A1A"/>
          <w:sz w:val="28"/>
        </w:rPr>
        <w:t xml:space="preserve"> Управление Федеральной службы исполнения наказаний по </w:t>
      </w:r>
      <w:r>
        <w:rPr>
          <w:rFonts w:ascii="Times New Roman" w:hAnsi="Times New Roman" w:eastAsia="Times New Roman"/>
          <w:b w:val="0"/>
          <w:i w:val="0"/>
          <w:color w:val="1A1A1A"/>
          <w:sz w:val="28"/>
        </w:rPr>
        <w:t>[наименование субъекта РФ]</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Административный ответчик:</w:t>
      </w:r>
      <w:r>
        <w:rPr>
          <w:rFonts w:ascii="Times New Roman" w:hAnsi="Times New Roman" w:eastAsia="Times New Roman"/>
          <w:b w:val="0"/>
          <w:i w:val="0"/>
          <w:color w:val="1A1A1A"/>
          <w:sz w:val="28"/>
        </w:rPr>
        <w:t xml:space="preserve"> Российская Федерация в лице Федеральной службы исполнения наказаний</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Госпошлина: 300 руб. (подп. 18 п. 1 ст. 333.19 НК РФ), заявлено ходатайство об освобождении от уплаты</w:t>
      </w:r>
    </w:p>
    <w:p>
      <w:pPr>
        <w:keepNext/>
        <w:spacing w:before="240" w:after="240" w:line="240" w:lineRule="auto"/>
        <w:jc w:val="center"/>
      </w:pPr>
      <w:r>
        <w:rPr>
          <w:rFonts w:ascii="Times New Roman" w:hAnsi="Times New Roman" w:eastAsia="Times New Roman"/>
          <w:b/>
          <w:color w:val="000000"/>
          <w:sz w:val="28"/>
        </w:rPr>
        <w:t>АДМИНИСТРАТИВНОЕ ИСКОВОЕ ЗАЯВЛЕНИЕ</w:t>
      </w:r>
    </w:p>
    <w:p>
      <w:pPr>
        <w:keepNext/>
        <w:spacing w:before="200" w:after="160" w:line="240" w:lineRule="auto"/>
        <w:jc w:val="center"/>
      </w:pPr>
      <w:r>
        <w:rPr>
          <w:rFonts w:ascii="Times New Roman" w:hAnsi="Times New Roman" w:eastAsia="Times New Roman"/>
          <w:b/>
          <w:i w:val="0"/>
          <w:color w:val="1A1A1A"/>
          <w:sz w:val="28"/>
        </w:rPr>
        <w:t>о признании незаконным бездействия и присуждении компенсации за нарушение условий содержания под стражей</w:t>
      </w:r>
    </w:p>
    <w:p>
      <w:pPr>
        <w:spacing w:before="0" w:after="120" w:line="276" w:lineRule="auto"/>
        <w:ind w:firstLine="709"/>
        <w:jc w:val="both"/>
      </w:pP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(далее — административный истец) в рамках уголовного дела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содержался под стражей в ФКУ СИЗО-</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УФСИН России по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(далее — СИЗО-</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на основании постановления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об избрании меры пресечения в виде заключения под стражу и последующих постановлений о продлении срока содержания под стражей.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административный истец этапирован в ФКУ </w:t>
      </w:r>
      <w:r>
        <w:rPr>
          <w:rFonts w:ascii="Times New Roman" w:hAnsi="Times New Roman" w:eastAsia="Times New Roman"/>
          <w:b w:val="0"/>
          <w:i w:val="0"/>
          <w:color w:val="1A1A1A"/>
          <w:sz w:val="28"/>
        </w:rPr>
        <w:t>[наименование исправительного учреждения]</w:t>
      </w:r>
      <w:r>
        <w:rPr>
          <w:rFonts w:ascii="Times New Roman" w:hAnsi="Times New Roman" w:eastAsia="Times New Roman"/>
          <w:b w:val="0"/>
          <w:i w:val="0"/>
          <w:color w:val="1A1A1A"/>
          <w:sz w:val="28"/>
        </w:rPr>
        <w:t xml:space="preserve"> для отбывания наказания по приговору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В период содержания в СИЗО-</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административный истец размещался в следующих камерах:</w:t>
      </w:r>
    </w:p>
    <w:tbl>
      <w:tblPr>
        <w:tblStyle w:val="TableGrid"/>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Layout w:type="fixed"/>
      </w:tblPr>
      <w:tblGrid>
        <w:gridCol w:w="2004"/>
        <w:gridCol w:w="1336"/>
        <w:gridCol w:w="2338"/>
        <w:gridCol w:w="1002"/>
        <w:gridCol w:w="2672"/>
      </w:tblGrid>
      <w:tr>
        <w:trPr>
          <w:cantSplit/>
        </w:trPr>
        <w:tc>
          <w:tcPr>
            <w:tcW w:type="dxa" w:w="2005"/>
          </w:tcPr>
          <w:p>
            <w:pPr>
              <w:keepNext/>
              <w:spacing w:before="0" w:after="20" w:line="240" w:lineRule="auto"/>
              <w:jc w:val="left"/>
            </w:pPr>
            <w:r/>
            <w:r>
              <w:rPr>
                <w:rFonts w:ascii="Times New Roman" w:hAnsi="Times New Roman" w:eastAsia="Times New Roman"/>
                <w:b w:val="0"/>
                <w:i w:val="0"/>
                <w:color w:val="1A1A1A"/>
                <w:sz w:val="24"/>
              </w:rPr>
              <w:t>Период</w:t>
            </w:r>
          </w:p>
        </w:tc>
        <w:tc>
          <w:tcPr>
            <w:tcW w:type="dxa" w:w="1336"/>
          </w:tcPr>
          <w:p>
            <w:pPr>
              <w:keepNext/>
              <w:spacing w:before="0" w:after="20" w:line="240" w:lineRule="auto"/>
              <w:jc w:val="left"/>
            </w:pPr>
            <w:r/>
            <w:r>
              <w:rPr>
                <w:rFonts w:ascii="Times New Roman" w:hAnsi="Times New Roman" w:eastAsia="Times New Roman"/>
                <w:b w:val="0"/>
                <w:i w:val="0"/>
                <w:color w:val="1A1A1A"/>
                <w:sz w:val="24"/>
              </w:rPr>
              <w:t>Номер камеры</w:t>
            </w:r>
          </w:p>
        </w:tc>
        <w:tc>
          <w:tcPr>
            <w:tcW w:type="dxa" w:w="2339"/>
          </w:tcPr>
          <w:p>
            <w:pPr>
              <w:keepNext/>
              <w:spacing w:before="0" w:after="20" w:line="240" w:lineRule="auto"/>
              <w:jc w:val="left"/>
            </w:pPr>
            <w:r/>
            <w:r>
              <w:rPr>
                <w:rFonts w:ascii="Times New Roman" w:hAnsi="Times New Roman" w:eastAsia="Times New Roman"/>
                <w:b w:val="0"/>
                <w:i w:val="0"/>
                <w:color w:val="1A1A1A"/>
                <w:sz w:val="24"/>
              </w:rPr>
              <w:t>Площадь камеры, кв. м</w:t>
            </w:r>
          </w:p>
        </w:tc>
        <w:tc>
          <w:tcPr>
            <w:tcW w:type="dxa" w:w="1002"/>
          </w:tcPr>
          <w:p>
            <w:pPr>
              <w:keepNext/>
              <w:spacing w:before="0" w:after="20" w:line="240" w:lineRule="auto"/>
              <w:jc w:val="left"/>
            </w:pPr>
            <w:r/>
            <w:r>
              <w:rPr>
                <w:rFonts w:ascii="Times New Roman" w:hAnsi="Times New Roman" w:eastAsia="Times New Roman"/>
                <w:b w:val="0"/>
                <w:i w:val="0"/>
                <w:color w:val="1A1A1A"/>
                <w:sz w:val="24"/>
              </w:rPr>
              <w:t>Число лиц</w:t>
            </w:r>
          </w:p>
        </w:tc>
        <w:tc>
          <w:tcPr>
            <w:tcW w:type="dxa" w:w="2673"/>
          </w:tcPr>
          <w:p>
            <w:pPr>
              <w:keepNext/>
              <w:spacing w:before="0" w:after="20" w:line="240" w:lineRule="auto"/>
              <w:jc w:val="left"/>
            </w:pPr>
            <w:r/>
            <w:r>
              <w:rPr>
                <w:rFonts w:ascii="Times New Roman" w:hAnsi="Times New Roman" w:eastAsia="Times New Roman"/>
                <w:b w:val="0"/>
                <w:i w:val="0"/>
                <w:color w:val="1A1A1A"/>
                <w:sz w:val="24"/>
              </w:rPr>
              <w:t>Площадь на одного, кв. м</w:t>
            </w:r>
          </w:p>
        </w:tc>
      </w:tr>
      <w:tr>
        <w:trPr>
          <w:cantSplit/>
        </w:trPr>
        <w:tc>
          <w:tcPr>
            <w:tcW w:type="dxa" w:w="2005"/>
          </w:tcPr>
          <w:p>
            <w:pPr>
              <w:keepNext/>
              <w:spacing w:before="0" w:after="20" w:line="240" w:lineRule="auto"/>
              <w:jc w:val="left"/>
            </w:pPr>
            <w:r/>
            <w:r>
              <w:rPr>
                <w:rFonts w:ascii="Times New Roman" w:hAnsi="Times New Roman" w:eastAsia="Times New Roman"/>
                <w:b w:val="0"/>
                <w:i w:val="0"/>
                <w:color w:val="1A1A1A"/>
                <w:sz w:val="24"/>
              </w:rPr>
              <w:t xml:space="preserve">с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по </w:t>
            </w:r>
            <w:r>
              <w:rPr>
                <w:rFonts w:ascii="Times New Roman" w:hAnsi="Times New Roman" w:eastAsia="Times New Roman"/>
                <w:b w:val="0"/>
                <w:i w:val="0"/>
                <w:color w:val="1A1A1A"/>
                <w:sz w:val="24"/>
              </w:rPr>
              <w:t>[дата]</w:t>
            </w:r>
          </w:p>
        </w:tc>
        <w:tc>
          <w:tcPr>
            <w:tcW w:type="dxa" w:w="1336"/>
          </w:tcPr>
          <w:p>
            <w:pPr>
              <w:keepNext/>
              <w:spacing w:before="0" w:after="20" w:line="240" w:lineRule="auto"/>
              <w:jc w:val="left"/>
            </w:pPr>
            <w:r/>
            <w:r>
              <w:rPr>
                <w:rFonts w:ascii="Times New Roman" w:hAnsi="Times New Roman" w:eastAsia="Times New Roman"/>
                <w:b w:val="0"/>
                <w:i w:val="0"/>
                <w:color w:val="1A1A1A"/>
                <w:sz w:val="24"/>
              </w:rPr>
              <w:t>[номер]</w:t>
            </w:r>
          </w:p>
        </w:tc>
        <w:tc>
          <w:tcPr>
            <w:tcW w:type="dxa" w:w="2339"/>
          </w:tcPr>
          <w:p>
            <w:pPr>
              <w:keepNext/>
              <w:spacing w:before="0" w:after="20" w:line="240" w:lineRule="auto"/>
              <w:jc w:val="left"/>
            </w:pPr>
            <w:r/>
            <w:r>
              <w:rPr>
                <w:rFonts w:ascii="Times New Roman" w:hAnsi="Times New Roman" w:eastAsia="Times New Roman"/>
                <w:b w:val="0"/>
                <w:i w:val="0"/>
                <w:color w:val="1A1A1A"/>
                <w:sz w:val="24"/>
              </w:rPr>
              <w:t>[площадь]</w:t>
            </w:r>
          </w:p>
        </w:tc>
        <w:tc>
          <w:tcPr>
            <w:tcW w:type="dxa" w:w="1002"/>
          </w:tcPr>
          <w:p>
            <w:pPr>
              <w:keepNext/>
              <w:spacing w:before="0" w:after="20" w:line="240" w:lineRule="auto"/>
              <w:jc w:val="left"/>
            </w:pPr>
            <w:r/>
            <w:r>
              <w:rPr>
                <w:rFonts w:ascii="Times New Roman" w:hAnsi="Times New Roman" w:eastAsia="Times New Roman"/>
                <w:b w:val="0"/>
                <w:i w:val="0"/>
                <w:color w:val="1A1A1A"/>
                <w:sz w:val="24"/>
              </w:rPr>
              <w:t>[число]</w:t>
            </w:r>
          </w:p>
        </w:tc>
        <w:tc>
          <w:tcPr>
            <w:tcW w:type="dxa" w:w="2673"/>
          </w:tcPr>
          <w:p>
            <w:pPr>
              <w:keepNext/>
              <w:spacing w:before="0" w:after="20" w:line="240" w:lineRule="auto"/>
              <w:jc w:val="left"/>
            </w:pPr>
            <w:r/>
            <w:r>
              <w:rPr>
                <w:rFonts w:ascii="Times New Roman" w:hAnsi="Times New Roman" w:eastAsia="Times New Roman"/>
                <w:b w:val="0"/>
                <w:i w:val="0"/>
                <w:color w:val="1A1A1A"/>
                <w:sz w:val="24"/>
              </w:rPr>
              <w:t>[площадь]</w:t>
            </w:r>
          </w:p>
        </w:tc>
      </w:tr>
      <w:tr>
        <w:trPr>
          <w:cantSplit/>
        </w:trPr>
        <w:tc>
          <w:tcPr>
            <w:tcW w:type="dxa" w:w="2005"/>
          </w:tcPr>
          <w:p>
            <w:pPr>
              <w:keepNext/>
              <w:spacing w:before="0" w:after="20" w:line="240" w:lineRule="auto"/>
              <w:jc w:val="left"/>
            </w:pPr>
            <w:r/>
            <w:r>
              <w:rPr>
                <w:rFonts w:ascii="Times New Roman" w:hAnsi="Times New Roman" w:eastAsia="Times New Roman"/>
                <w:b w:val="0"/>
                <w:i w:val="0"/>
                <w:color w:val="1A1A1A"/>
                <w:sz w:val="24"/>
              </w:rPr>
              <w:t xml:space="preserve">с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по </w:t>
            </w:r>
            <w:r>
              <w:rPr>
                <w:rFonts w:ascii="Times New Roman" w:hAnsi="Times New Roman" w:eastAsia="Times New Roman"/>
                <w:b w:val="0"/>
                <w:i w:val="0"/>
                <w:color w:val="1A1A1A"/>
                <w:sz w:val="24"/>
              </w:rPr>
              <w:t>[дата]</w:t>
            </w:r>
          </w:p>
        </w:tc>
        <w:tc>
          <w:tcPr>
            <w:tcW w:type="dxa" w:w="1336"/>
          </w:tcPr>
          <w:p>
            <w:pPr>
              <w:keepNext/>
              <w:spacing w:before="0" w:after="20" w:line="240" w:lineRule="auto"/>
              <w:jc w:val="left"/>
            </w:pPr>
            <w:r/>
            <w:r>
              <w:rPr>
                <w:rFonts w:ascii="Times New Roman" w:hAnsi="Times New Roman" w:eastAsia="Times New Roman"/>
                <w:b w:val="0"/>
                <w:i w:val="0"/>
                <w:color w:val="1A1A1A"/>
                <w:sz w:val="24"/>
              </w:rPr>
              <w:t>[номер]</w:t>
            </w:r>
          </w:p>
        </w:tc>
        <w:tc>
          <w:tcPr>
            <w:tcW w:type="dxa" w:w="2339"/>
          </w:tcPr>
          <w:p>
            <w:pPr>
              <w:keepNext/>
              <w:spacing w:before="0" w:after="20" w:line="240" w:lineRule="auto"/>
              <w:jc w:val="left"/>
            </w:pPr>
            <w:r/>
            <w:r>
              <w:rPr>
                <w:rFonts w:ascii="Times New Roman" w:hAnsi="Times New Roman" w:eastAsia="Times New Roman"/>
                <w:b w:val="0"/>
                <w:i w:val="0"/>
                <w:color w:val="1A1A1A"/>
                <w:sz w:val="24"/>
              </w:rPr>
              <w:t>[площадь]</w:t>
            </w:r>
          </w:p>
        </w:tc>
        <w:tc>
          <w:tcPr>
            <w:tcW w:type="dxa" w:w="1002"/>
          </w:tcPr>
          <w:p>
            <w:pPr>
              <w:keepNext/>
              <w:spacing w:before="0" w:after="20" w:line="240" w:lineRule="auto"/>
              <w:jc w:val="left"/>
            </w:pPr>
            <w:r/>
            <w:r>
              <w:rPr>
                <w:rFonts w:ascii="Times New Roman" w:hAnsi="Times New Roman" w:eastAsia="Times New Roman"/>
                <w:b w:val="0"/>
                <w:i w:val="0"/>
                <w:color w:val="1A1A1A"/>
                <w:sz w:val="24"/>
              </w:rPr>
              <w:t>[число]</w:t>
            </w:r>
          </w:p>
        </w:tc>
        <w:tc>
          <w:tcPr>
            <w:tcW w:type="dxa" w:w="2673"/>
          </w:tcPr>
          <w:p>
            <w:pPr>
              <w:keepNext/>
              <w:spacing w:before="0" w:after="20" w:line="240" w:lineRule="auto"/>
              <w:jc w:val="left"/>
            </w:pPr>
            <w:r/>
            <w:r>
              <w:rPr>
                <w:rFonts w:ascii="Times New Roman" w:hAnsi="Times New Roman" w:eastAsia="Times New Roman"/>
                <w:b w:val="0"/>
                <w:i w:val="0"/>
                <w:color w:val="1A1A1A"/>
                <w:sz w:val="24"/>
              </w:rPr>
              <w:t>[площадь]</w:t>
            </w:r>
          </w:p>
        </w:tc>
      </w:tr>
      <w:tr>
        <w:trPr>
          <w:cantSplit/>
        </w:trPr>
        <w:tc>
          <w:tcPr>
            <w:tcW w:type="dxa" w:w="2005"/>
          </w:tcPr>
          <w:p>
            <w:pPr>
              <w:spacing w:before="0" w:after="20" w:line="240" w:lineRule="auto"/>
              <w:jc w:val="left"/>
            </w:pPr>
            <w:r/>
            <w:r>
              <w:rPr>
                <w:rFonts w:ascii="Times New Roman" w:hAnsi="Times New Roman" w:eastAsia="Times New Roman"/>
                <w:b w:val="0"/>
                <w:i w:val="0"/>
                <w:color w:val="1A1A1A"/>
                <w:sz w:val="24"/>
              </w:rPr>
              <w:t xml:space="preserve">с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по </w:t>
            </w:r>
            <w:r>
              <w:rPr>
                <w:rFonts w:ascii="Times New Roman" w:hAnsi="Times New Roman" w:eastAsia="Times New Roman"/>
                <w:b w:val="0"/>
                <w:i w:val="0"/>
                <w:color w:val="1A1A1A"/>
                <w:sz w:val="24"/>
              </w:rPr>
              <w:t>[дата]</w:t>
            </w:r>
          </w:p>
        </w:tc>
        <w:tc>
          <w:tcPr>
            <w:tcW w:type="dxa" w:w="1336"/>
          </w:tcPr>
          <w:p>
            <w:pPr>
              <w:spacing w:before="0" w:after="20" w:line="240" w:lineRule="auto"/>
              <w:jc w:val="left"/>
            </w:pPr>
            <w:r/>
            <w:r>
              <w:rPr>
                <w:rFonts w:ascii="Times New Roman" w:hAnsi="Times New Roman" w:eastAsia="Times New Roman"/>
                <w:b w:val="0"/>
                <w:i w:val="0"/>
                <w:color w:val="1A1A1A"/>
                <w:sz w:val="24"/>
              </w:rPr>
              <w:t>[номер]</w:t>
            </w:r>
          </w:p>
        </w:tc>
        <w:tc>
          <w:tcPr>
            <w:tcW w:type="dxa" w:w="2339"/>
          </w:tcPr>
          <w:p>
            <w:pPr>
              <w:spacing w:before="0" w:after="20" w:line="240" w:lineRule="auto"/>
              <w:jc w:val="left"/>
            </w:pPr>
            <w:r/>
            <w:r>
              <w:rPr>
                <w:rFonts w:ascii="Times New Roman" w:hAnsi="Times New Roman" w:eastAsia="Times New Roman"/>
                <w:b w:val="0"/>
                <w:i w:val="0"/>
                <w:color w:val="1A1A1A"/>
                <w:sz w:val="24"/>
              </w:rPr>
              <w:t>[площадь]</w:t>
            </w:r>
          </w:p>
        </w:tc>
        <w:tc>
          <w:tcPr>
            <w:tcW w:type="dxa" w:w="1002"/>
          </w:tcPr>
          <w:p>
            <w:pPr>
              <w:spacing w:before="0" w:after="20" w:line="240" w:lineRule="auto"/>
              <w:jc w:val="left"/>
            </w:pPr>
            <w:r/>
            <w:r>
              <w:rPr>
                <w:rFonts w:ascii="Times New Roman" w:hAnsi="Times New Roman" w:eastAsia="Times New Roman"/>
                <w:b w:val="0"/>
                <w:i w:val="0"/>
                <w:color w:val="1A1A1A"/>
                <w:sz w:val="24"/>
              </w:rPr>
              <w:t>[число]</w:t>
            </w:r>
          </w:p>
        </w:tc>
        <w:tc>
          <w:tcPr>
            <w:tcW w:type="dxa" w:w="2673"/>
          </w:tcPr>
          <w:p>
            <w:pPr>
              <w:spacing w:before="0" w:after="20" w:line="240" w:lineRule="auto"/>
              <w:jc w:val="left"/>
            </w:pPr>
            <w:r/>
            <w:r>
              <w:rPr>
                <w:rFonts w:ascii="Times New Roman" w:hAnsi="Times New Roman" w:eastAsia="Times New Roman"/>
                <w:b w:val="0"/>
                <w:i w:val="0"/>
                <w:color w:val="1A1A1A"/>
                <w:sz w:val="24"/>
              </w:rPr>
              <w:t>[площадь]</w:t>
            </w:r>
          </w:p>
        </w:tc>
      </w:tr>
    </w:tbl>
    <w:p>
      <w:pPr>
        <w:spacing w:before="0" w:after="80" w:line="276" w:lineRule="auto"/>
        <w:jc w:val="both"/>
      </w:pPr>
    </w:p>
    <w:p>
      <w:pPr>
        <w:spacing w:before="0" w:after="120" w:line="276" w:lineRule="auto"/>
        <w:ind w:firstLine="709"/>
        <w:jc w:val="both"/>
      </w:pPr>
      <w:r>
        <w:rPr>
          <w:rFonts w:ascii="Times New Roman" w:hAnsi="Times New Roman" w:eastAsia="Times New Roman"/>
          <w:b w:val="0"/>
          <w:i w:val="0"/>
          <w:color w:val="1A1A1A"/>
          <w:sz w:val="28"/>
        </w:rPr>
        <w:t xml:space="preserve">Общая продолжительность содержания в условиях, при которых на одного человека приходилось менее четырёх квадратных метров санитарной площади, составила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w:t>
      </w:r>
    </w:p>
    <w:p>
      <w:pPr>
        <w:keepNext/>
        <w:spacing w:before="200" w:after="160" w:line="240" w:lineRule="auto"/>
        <w:jc w:val="center"/>
      </w:pPr>
      <w:r>
        <w:rPr>
          <w:rFonts w:ascii="Times New Roman" w:hAnsi="Times New Roman" w:eastAsia="Times New Roman"/>
          <w:b/>
          <w:color w:val="000000"/>
          <w:sz w:val="28"/>
        </w:rPr>
        <w:t>Нарушения условий содержания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Переполненность камер. Норма санитарной площади в камере на одного человека составляет четыре квадратных метра (ч. 5 ст. 23 Федерального закона от 15.07.1995 № 103-ФЗ «О содержании под стражей подозреваемых и обвиняемых в совершении преступлений», далее — Закон № 103-ФЗ). В камерах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на одного человека приходилось от </w:t>
      </w:r>
      <w:r>
        <w:rPr>
          <w:rFonts w:ascii="Times New Roman" w:hAnsi="Times New Roman" w:eastAsia="Times New Roman"/>
          <w:b w:val="0"/>
          <w:i w:val="0"/>
          <w:color w:val="1A1A1A"/>
          <w:sz w:val="28"/>
        </w:rPr>
        <w:t>[площадь]</w:t>
      </w:r>
      <w:r>
        <w:rPr>
          <w:rFonts w:ascii="Times New Roman" w:hAnsi="Times New Roman" w:eastAsia="Times New Roman"/>
          <w:b w:val="0"/>
          <w:i w:val="0"/>
          <w:color w:val="1A1A1A"/>
          <w:sz w:val="28"/>
        </w:rPr>
        <w:t xml:space="preserve"> до </w:t>
      </w:r>
      <w:r>
        <w:rPr>
          <w:rFonts w:ascii="Times New Roman" w:hAnsi="Times New Roman" w:eastAsia="Times New Roman"/>
          <w:b w:val="0"/>
          <w:i w:val="0"/>
          <w:color w:val="1A1A1A"/>
          <w:sz w:val="28"/>
        </w:rPr>
        <w:t>[площадь]</w:t>
      </w:r>
      <w:r>
        <w:rPr>
          <w:rFonts w:ascii="Times New Roman" w:hAnsi="Times New Roman" w:eastAsia="Times New Roman"/>
          <w:b w:val="0"/>
          <w:i w:val="0"/>
          <w:color w:val="1A1A1A"/>
          <w:sz w:val="28"/>
        </w:rPr>
        <w:t xml:space="preserve"> кв. м с учётом мебели и санитарного узла. Свободное перемещение между предметами мебели было невозможно.</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Отсутствие индивидуального спального места. В камере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число содержавшихся лиц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превышало число спальных мест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Административный истец спал </w:t>
      </w:r>
      <w:r>
        <w:rPr>
          <w:rFonts w:ascii="Times New Roman" w:hAnsi="Times New Roman" w:eastAsia="Times New Roman"/>
          <w:b w:val="0"/>
          <w:i w:val="0"/>
          <w:color w:val="1A1A1A"/>
          <w:sz w:val="28"/>
        </w:rPr>
        <w:t>[описание: посменно, на полу, на матрасе между нарами]</w:t>
      </w:r>
      <w:r>
        <w:rPr>
          <w:rFonts w:ascii="Times New Roman" w:hAnsi="Times New Roman" w:eastAsia="Times New Roman"/>
          <w:b w:val="0"/>
          <w:i w:val="0"/>
          <w:color w:val="1A1A1A"/>
          <w:sz w:val="28"/>
        </w:rPr>
        <w:t>. Обязанность предоставить индивидуальное спальное место установлена ч. 2 ст. 23 Закона № 103-ФЗ.</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Отсутствие приватности санитарного узла. Санитарный узел в камерах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отделён от жилой части перегородкой высотой около </w:t>
      </w:r>
      <w:r>
        <w:rPr>
          <w:rFonts w:ascii="Times New Roman" w:hAnsi="Times New Roman" w:eastAsia="Times New Roman"/>
          <w:b w:val="0"/>
          <w:i w:val="0"/>
          <w:color w:val="1A1A1A"/>
          <w:sz w:val="28"/>
        </w:rPr>
        <w:t>[высота]</w:t>
      </w:r>
      <w:r>
        <w:rPr>
          <w:rFonts w:ascii="Times New Roman" w:hAnsi="Times New Roman" w:eastAsia="Times New Roman"/>
          <w:b w:val="0"/>
          <w:i w:val="0"/>
          <w:color w:val="1A1A1A"/>
          <w:sz w:val="28"/>
        </w:rPr>
        <w:t xml:space="preserve"> м без двери, расположен на расстоянии </w:t>
      </w:r>
      <w:r>
        <w:rPr>
          <w:rFonts w:ascii="Times New Roman" w:hAnsi="Times New Roman" w:eastAsia="Times New Roman"/>
          <w:b w:val="0"/>
          <w:i w:val="0"/>
          <w:color w:val="1A1A1A"/>
          <w:sz w:val="28"/>
        </w:rPr>
        <w:t>[расстояние]</w:t>
      </w:r>
      <w:r>
        <w:rPr>
          <w:rFonts w:ascii="Times New Roman" w:hAnsi="Times New Roman" w:eastAsia="Times New Roman"/>
          <w:b w:val="0"/>
          <w:i w:val="0"/>
          <w:color w:val="1A1A1A"/>
          <w:sz w:val="28"/>
        </w:rPr>
        <w:t xml:space="preserve"> м от обеденного стола и просматривается через смотровое окно камерной двери. Такое отсутствие приватности целями безопасности не обусловлено.</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Недостаточное освещение и вентиляция. Окно камеры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закрыто </w:t>
      </w:r>
      <w:r>
        <w:rPr>
          <w:rFonts w:ascii="Times New Roman" w:hAnsi="Times New Roman" w:eastAsia="Times New Roman"/>
          <w:b w:val="0"/>
          <w:i w:val="0"/>
          <w:color w:val="1A1A1A"/>
          <w:sz w:val="28"/>
        </w:rPr>
        <w:t>[описание: металлическими жалюзи, листом]</w:t>
      </w:r>
      <w:r>
        <w:rPr>
          <w:rFonts w:ascii="Times New Roman" w:hAnsi="Times New Roman" w:eastAsia="Times New Roman"/>
          <w:b w:val="0"/>
          <w:i w:val="0"/>
          <w:color w:val="1A1A1A"/>
          <w:sz w:val="28"/>
        </w:rPr>
        <w:t xml:space="preserve">, естественное освещение отсутствует. Искусственного освещения недостаточно для чтения. Принудительная вентиляция не работала, в летний период температура в камере достигала </w:t>
      </w:r>
      <w:r>
        <w:rPr>
          <w:rFonts w:ascii="Times New Roman" w:hAnsi="Times New Roman" w:eastAsia="Times New Roman"/>
          <w:b w:val="0"/>
          <w:i w:val="0"/>
          <w:color w:val="1A1A1A"/>
          <w:sz w:val="28"/>
        </w:rPr>
        <w:t>[температура]</w:t>
      </w:r>
      <w:r>
        <w:rPr>
          <w:rFonts w:ascii="Times New Roman" w:hAnsi="Times New Roman" w:eastAsia="Times New Roman"/>
          <w:b w:val="0"/>
          <w:i w:val="0"/>
          <w:color w:val="1A1A1A"/>
          <w:sz w:val="28"/>
        </w:rPr>
        <w:t xml:space="preserve"> °C.</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Прогулки. В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ежедневная прогулка не предоставлялась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раз, в остальные дни её продолжительность составляла </w:t>
      </w:r>
      <w:r>
        <w:rPr>
          <w:rFonts w:ascii="Times New Roman" w:hAnsi="Times New Roman" w:eastAsia="Times New Roman"/>
          <w:b w:val="0"/>
          <w:i w:val="0"/>
          <w:color w:val="1A1A1A"/>
          <w:sz w:val="28"/>
        </w:rPr>
        <w:t>[продолжительность]</w:t>
      </w:r>
      <w:r>
        <w:rPr>
          <w:rFonts w:ascii="Times New Roman" w:hAnsi="Times New Roman" w:eastAsia="Times New Roman"/>
          <w:b w:val="0"/>
          <w:i w:val="0"/>
          <w:color w:val="1A1A1A"/>
          <w:sz w:val="28"/>
        </w:rPr>
        <w:t xml:space="preserve"> вместо установленной.</w:t>
      </w:r>
    </w:p>
    <w:p>
      <w:pPr>
        <w:spacing w:before="0" w:after="120" w:line="276" w:lineRule="auto"/>
        <w:ind w:firstLine="709"/>
        <w:jc w:val="both"/>
      </w:pPr>
      <w:r>
        <w:rPr>
          <w:rFonts w:ascii="Times New Roman" w:hAnsi="Times New Roman" w:eastAsia="Times New Roman"/>
          <w:b w:val="0"/>
          <w:i w:val="0"/>
          <w:color w:val="1A1A1A"/>
          <w:sz w:val="28"/>
        </w:rPr>
        <w:t xml:space="preserve">Перечисленные обстоятельства подтверждаются: </w:t>
      </w:r>
      <w:r>
        <w:rPr>
          <w:rFonts w:ascii="Times New Roman" w:hAnsi="Times New Roman" w:eastAsia="Times New Roman"/>
          <w:b w:val="0"/>
          <w:i w:val="0"/>
          <w:color w:val="1A1A1A"/>
          <w:sz w:val="28"/>
        </w:rPr>
        <w:t>[перечень — жалобы административного истца в администрацию СИЗО-[номер]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обращение в прокуратуру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ответ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акт посещения членами общественной наблюдательной комиссии </w:t>
      </w:r>
      <w:r>
        <w:rPr>
          <w:rFonts w:ascii="Times New Roman" w:hAnsi="Times New Roman" w:eastAsia="Times New Roman"/>
          <w:b w:val="0"/>
          <w:i w:val="0"/>
          <w:color w:val="1A1A1A"/>
          <w:sz w:val="28"/>
        </w:rPr>
        <w:t>[субъекта РФ]</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показания лиц, содержавшихся в тех же камерах: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Жалоба по тому же предмету в вышестоящий в порядке подчинённости орган подавалась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УФСИН России по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Ответом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нарушения не признаны. Иных жалоб в порядке подчинённости не подавалось.</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Подозреваемый, обвиняемый в случае нарушения условий содержания под стражей вправе обратиться в суд в порядке, установленном КАС РФ, с административным исковым заявлением к Российской Федерации о присуждении за счёт казны Российской Федерации компенсации за такое нарушение (ч. 1 ст. 17.1 Закона № 103-ФЗ). Требование о компенсации заявляется одновременно с требованием об оспаривании связанных с условиями содержания действий (бездействия) учреждения и рассматривается по правилам гл. 22 КАС РФ (ч. 1, 3 ст. 227.1 КАС РФ).</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Условия содержания административного истца не соответствовали ст. 23 Закона № 103-ФЗ. О нарушении условий содержания свидетельствуют, в частности, переполненность камер, невозможность свободного перемещения между предметами мебели, отсутствие индивидуального спального места, естественного освещения либо искусственного освещения, достаточного для чтения, недостаточность вентиляции, непредоставление возможности пребывания на открытом воздухе, отсутствие достаточной приватности санитарных помещений, не обусловленное целями безопасности (абз. 2 п. 14 постановления Пленума Верховного Суда РФ от 25.12.2018 № 47 «О некоторых вопросах, возникающих у судов при рассмотрении административных дел, связанных с нарушением условий содержания лиц, находящихся в местах принудительного содержания», далее — Постановление № 47). Нарушения были существенными, длительными и в совокупности ничем не восполнялись (абз. 3 п. 14 Постановления № 47).</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Обязанность доказывания соблюдения надлежащих условий содержания возложена на административных ответчиков (ч. 2 ст. 62 КАС РФ, абз. 1 п. 13 Постановления № 47). Административный истец указал, какие условия нарушены, в какие периоды и в каких камерах, и приложил имеющиеся у него документы (абз. 2 п. 13 Постановления № 47). Сведения о площади камер, численности содержавшихся лиц, освещённости и температуре находятся у административного ответчика, в связи с чем заявлено ходатайство об их истребовании.</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Срок обращения в суд не пропущен. Нарушение условий содержания носит длящийся характер: административное исковое заявление может быть подано в течение всего срока, пока у учреждения сохраняется обязанность обеспечить надлежащие условия, и в течение трёх месяцев после прекращения такой обязанности (ч. 1 ст. 219 КАС РФ, п. 12 Постановления № 47). Административный истец убыл из СИЗО-</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административное исковое заявление подано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Дело подсудно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районному суду </w:t>
      </w:r>
      <w:r>
        <w:rPr>
          <w:rFonts w:ascii="Times New Roman" w:hAnsi="Times New Roman" w:eastAsia="Times New Roman"/>
          <w:b w:val="0"/>
          <w:i w:val="0"/>
          <w:color w:val="1A1A1A"/>
          <w:sz w:val="28"/>
        </w:rPr>
        <w:t>[города]</w:t>
      </w:r>
      <w:r>
        <w:rPr>
          <w:rFonts w:ascii="Times New Roman" w:hAnsi="Times New Roman" w:eastAsia="Times New Roman"/>
          <w:b w:val="0"/>
          <w:i w:val="0"/>
          <w:color w:val="1A1A1A"/>
          <w:sz w:val="28"/>
        </w:rPr>
        <w:t>, на территории которого расположен СИЗО-</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осуществлялись оспариваемые действия (бездействие) (ч. 2 ст. 22 КАС РФ, п. 5 Постановления № 47).</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Компенсация присуждается исходя из требований заявителя с учётом фактических обстоятельств допущенных нарушений, их продолжительности и последствий и не зависит от наличия либо отсутствия вины органа государственной власти, учреждения, их должностных лиц (ч. 2 ст. 17.1 Закона № 103-ФЗ). С учётом продолжительности содержания в переполненных камерах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 совокупности нарушений и их последствий для административного истца (</w:t>
      </w:r>
      <w:r>
        <w:rPr>
          <w:rFonts w:ascii="Times New Roman" w:hAnsi="Times New Roman" w:eastAsia="Times New Roman"/>
          <w:b w:val="0"/>
          <w:i w:val="0"/>
          <w:color w:val="1A1A1A"/>
          <w:sz w:val="28"/>
        </w:rPr>
        <w:t>[описание последствий: ухудшение самочувствия, невозможность подготовки к защите, отдыха и сна]</w:t>
      </w:r>
      <w:r>
        <w:rPr>
          <w:rFonts w:ascii="Times New Roman" w:hAnsi="Times New Roman" w:eastAsia="Times New Roman"/>
          <w:b w:val="0"/>
          <w:i w:val="0"/>
          <w:color w:val="1A1A1A"/>
          <w:sz w:val="28"/>
        </w:rPr>
        <w:t xml:space="preserve">) размер компенсации определён в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Интересы Российской Федерации при рассмотрении требования о компенсации представляет главный распорядитель средств федерального бюджета по ведомственной принадлежности учреждения — Федеральная служба исполнения наказаний (ч. 4 ст. 227.1 КАС РФ).</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Требование о возмещении вреда, причинённого здоровью или имуществу административного истца, в настоящем административном исковом заявлении не заявляется и может быть предъявлено по правилам гражданского судопроизводства (ч. 6 ст. 227.1 КАС РФ, ч. 3 ст. 17.1 Закона № 103-ФЗ).</w:t>
      </w:r>
    </w:p>
    <w:p>
      <w:pPr>
        <w:spacing w:before="0" w:after="120" w:line="276" w:lineRule="auto"/>
        <w:ind w:firstLine="709"/>
        <w:jc w:val="both"/>
      </w:pPr>
      <w:r>
        <w:rPr>
          <w:rFonts w:ascii="Times New Roman" w:hAnsi="Times New Roman" w:eastAsia="Times New Roman"/>
          <w:b w:val="0"/>
          <w:i w:val="0"/>
          <w:color w:val="1A1A1A"/>
          <w:sz w:val="28"/>
        </w:rPr>
        <w:t xml:space="preserve">Реквизиты банковского счёта административного истца для перечисления компенсации (ч. 2 ст. 227.1 КАС РФ): получатель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счёт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банк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БИК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корреспондентский счёт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Ходатайство об освобождении от уплаты государственной пошлины</w:t>
      </w:r>
    </w:p>
    <w:p>
      <w:pPr>
        <w:spacing w:before="0" w:after="120" w:line="276" w:lineRule="auto"/>
        <w:ind w:firstLine="709"/>
        <w:jc w:val="both"/>
      </w:pPr>
      <w:r>
        <w:rPr>
          <w:rFonts w:ascii="Times New Roman" w:hAnsi="Times New Roman" w:eastAsia="Times New Roman"/>
          <w:b w:val="0"/>
          <w:i w:val="0"/>
          <w:color w:val="1A1A1A"/>
          <w:sz w:val="28"/>
        </w:rPr>
        <w:t xml:space="preserve">Государственная пошлина за подачу настоящего административного искового заявления составляет 300 руб. (подп. 18 п. 1 ст. 333.19 НК РФ). Административный истец отбывает наказание в виде лишения свободы в ФКУ </w:t>
      </w:r>
      <w:r>
        <w:rPr>
          <w:rFonts w:ascii="Times New Roman" w:hAnsi="Times New Roman" w:eastAsia="Times New Roman"/>
          <w:b w:val="0"/>
          <w:i w:val="0"/>
          <w:color w:val="1A1A1A"/>
          <w:sz w:val="28"/>
        </w:rPr>
        <w:t>[наименование исправительного учреждения]</w:t>
      </w:r>
      <w:r>
        <w:rPr>
          <w:rFonts w:ascii="Times New Roman" w:hAnsi="Times New Roman" w:eastAsia="Times New Roman"/>
          <w:b w:val="0"/>
          <w:i w:val="0"/>
          <w:color w:val="1A1A1A"/>
          <w:sz w:val="28"/>
        </w:rPr>
        <w:t xml:space="preserve">. Он привлечён к оплачиваемому труду, его заработная плата составляет в среднем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в месяц, иных источников дохода не имеет. Из заработной платы производятся удержания по исполнительным документам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в месяц,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ежемесячно переводится на содержание несовершеннолетнего ребёнка </w:t>
      </w:r>
      <w:r>
        <w:rPr>
          <w:rFonts w:ascii="Times New Roman" w:hAnsi="Times New Roman" w:eastAsia="Times New Roman"/>
          <w:b w:val="0"/>
          <w:i w:val="0"/>
          <w:color w:val="1A1A1A"/>
          <w:sz w:val="28"/>
        </w:rPr>
        <w:t>[год рождения]</w:t>
      </w:r>
      <w:r>
        <w:rPr>
          <w:rFonts w:ascii="Times New Roman" w:hAnsi="Times New Roman" w:eastAsia="Times New Roman"/>
          <w:b w:val="0"/>
          <w:i w:val="0"/>
          <w:color w:val="1A1A1A"/>
          <w:sz w:val="28"/>
        </w:rPr>
        <w:t xml:space="preserve">, остальные средства расходуются на приобретение продуктов питания и предметов первой необходимости. По справке учреждения о движении денежных средств на лицевом счёте за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остаток 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составляет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firstLine="709"/>
        <w:jc w:val="both"/>
      </w:pPr>
      <w:r>
        <w:rPr>
          <w:rFonts w:ascii="Times New Roman" w:hAnsi="Times New Roman" w:eastAsia="Times New Roman"/>
          <w:b w:val="0"/>
          <w:i w:val="0"/>
          <w:color w:val="1A1A1A"/>
          <w:sz w:val="28"/>
        </w:rPr>
        <w:t>Суд, исходя из имущественного положения плательщика, вправе освободить его от уплаты государственной пошлины (п. 2 ст. 333.20 НК РФ, ч. 2 ст. 104 КАС РФ). Если уменьшение размера пошлины, отсрочка или рассрочка её уплаты недостаточны для обеспечения доступа к правосудию лица, отбывающего лишение свободы, суд вправе освободить его от уплаты пошлины по его ходатайству (абз. 2 п. 8 Постановления № 47). Верховный Суд РФ признал уплату пошлины осуждённым, единственный доход которого составляет около 5 000 руб. в месяц и часть которого направляется на содержание ребёнка, чрезмерно затруднительной и указал, что отказ в льготе лицу, ранее освобождённому от уплаты пошлины, недопустим без выявления изменения его положения или недостоверности прежних данных (кассационное определение судьи Верховного Суда РФ от 12.10.2026 № 67-КАД26-4-К8).</w:t>
      </w:r>
    </w:p>
    <w:p>
      <w:pPr>
        <w:keepNext/>
        <w:spacing w:before="200" w:after="160" w:line="240" w:lineRule="auto"/>
        <w:jc w:val="center"/>
      </w:pPr>
      <w:r>
        <w:rPr>
          <w:rFonts w:ascii="Times New Roman" w:hAnsi="Times New Roman" w:eastAsia="Times New Roman"/>
          <w:b/>
          <w:color w:val="000000"/>
          <w:sz w:val="28"/>
        </w:rPr>
        <w:t>Ходатайство об истребовании доказательств</w:t>
      </w:r>
    </w:p>
    <w:p>
      <w:pPr>
        <w:spacing w:before="0" w:after="120" w:line="276" w:lineRule="auto"/>
        <w:ind w:firstLine="709"/>
        <w:jc w:val="both"/>
      </w:pPr>
      <w:r>
        <w:rPr>
          <w:rFonts w:ascii="Times New Roman" w:hAnsi="Times New Roman" w:eastAsia="Times New Roman"/>
          <w:b w:val="0"/>
          <w:i w:val="0"/>
          <w:color w:val="1A1A1A"/>
          <w:sz w:val="28"/>
        </w:rPr>
        <w:t>Административный истец не может самостоятельно получить сведения о площади камер, численности содержавшихся в них лиц, освещённости и температуре. Суд вправе возложить на административного ответчика обязанность представить такие сведения, а также фото- и видеозаписи помещений с указанием времени, лица и условий съёмки (абз. 4 п. 13 Постановления № 47, ст. 63 КАС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17.1, 23 Закона № 103-ФЗ, ст. 22, 62, 63, 104, 218–220, 227.1 КАС РФ, п. 2 ст. 333.20 НК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Признать незаконным бездействие ФКУ СИЗО-</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УФСИН России по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выразившееся в необеспечении надлежащих условий содержания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под стражей в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несоблюдении нормы санитарной площади в камерах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непредоставлении индивидуального спального места, необеспечении приватности санитарного узла, достаточного освещения и вентиляции, ежедневной прогулки.</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Присудить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компенсацию за нарушение условий содержания под стражей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взыскав её с Российской Федерации в лице Федеральной службы исполнения наказаний за счёт казны Российской Федерации с перечислением на счёт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Освободить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от уплаты государственной пошлины за подачу настоящего административного искового заявления.</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Истребовать у ФКУ СИЗО-</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УФСИН России по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сведения о площади камер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количестве спальных мест и численности содержавшихся в них лиц за каждый день периода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технический паспорт или поэтажный план помещений; сведения о режиме прогулок административного истца; фотографии и видеозаписи камер с указанием даты, лица и условий съёмки.</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Обеспечить участие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в судебном заседании путём использования систем видео-конференц-связи с ФКУ </w:t>
      </w:r>
      <w:r>
        <w:rPr>
          <w:rFonts w:ascii="Times New Roman" w:hAnsi="Times New Roman" w:eastAsia="Times New Roman"/>
          <w:b w:val="0"/>
          <w:i w:val="0"/>
          <w:color w:val="1A1A1A"/>
          <w:sz w:val="28"/>
        </w:rPr>
        <w:t>[наименование исправительного учреждения]</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Справка ФКУ </w:t>
      </w:r>
      <w:r>
        <w:rPr>
          <w:rFonts w:ascii="Times New Roman" w:hAnsi="Times New Roman" w:eastAsia="Times New Roman"/>
          <w:b w:val="0"/>
          <w:i w:val="0"/>
          <w:color w:val="1A1A1A"/>
          <w:sz w:val="28"/>
        </w:rPr>
        <w:t>[наименование исправительного учреждения]</w:t>
      </w:r>
      <w:r>
        <w:rPr>
          <w:rFonts w:ascii="Times New Roman" w:hAnsi="Times New Roman" w:eastAsia="Times New Roman"/>
          <w:b w:val="0"/>
          <w:i w:val="0"/>
          <w:color w:val="1A1A1A"/>
          <w:sz w:val="28"/>
        </w:rPr>
        <w:t xml:space="preserve"> о движении денежных средств на лицевом счёте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за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Справка ФКУ </w:t>
      </w:r>
      <w:r>
        <w:rPr>
          <w:rFonts w:ascii="Times New Roman" w:hAnsi="Times New Roman" w:eastAsia="Times New Roman"/>
          <w:b w:val="0"/>
          <w:i w:val="0"/>
          <w:color w:val="1A1A1A"/>
          <w:sz w:val="28"/>
        </w:rPr>
        <w:t>[наименование исправительного учреждения]</w:t>
      </w:r>
      <w:r>
        <w:rPr>
          <w:rFonts w:ascii="Times New Roman" w:hAnsi="Times New Roman" w:eastAsia="Times New Roman"/>
          <w:b w:val="0"/>
          <w:i w:val="0"/>
          <w:color w:val="1A1A1A"/>
          <w:sz w:val="28"/>
        </w:rPr>
        <w:t xml:space="preserve"> о трудоустройстве и размере заработной платы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сведения об удержаниях по исполнительным документам.</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Копия свидетельства о рождении ребёнка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[год рождения]</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Копии жалоб административного истца в администрацию СИЗО-</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ответов на них.</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Копия обращения в прокуратуру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ответа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Копия жалобы в УФСИН России по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ответа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 xml:space="preserve">Копия акта посещения членами общественной наблюдательной комиссии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8. </w:t>
      </w:r>
      <w:r>
        <w:rPr>
          <w:rFonts w:ascii="Times New Roman" w:hAnsi="Times New Roman" w:eastAsia="Times New Roman"/>
          <w:b w:val="0"/>
          <w:i w:val="0"/>
          <w:color w:val="1A1A1A"/>
          <w:sz w:val="28"/>
        </w:rPr>
        <w:t xml:space="preserve">Копия приговора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части сведений о периоде содержания под стражей).</w:t>
      </w:r>
    </w:p>
    <w:p>
      <w:pPr>
        <w:spacing w:before="0" w:after="120" w:line="276" w:lineRule="auto"/>
        <w:ind w:left="360" w:hanging="360"/>
        <w:jc w:val="both"/>
      </w:pPr>
      <w:r>
        <w:rPr>
          <w:rFonts w:ascii="Times New Roman" w:hAnsi="Times New Roman" w:eastAsia="Times New Roman"/>
          <w:color w:val="1A1A1A"/>
          <w:sz w:val="28"/>
        </w:rPr>
        <w:t xml:space="preserve">9. </w:t>
      </w:r>
      <w:r>
        <w:rPr>
          <w:rFonts w:ascii="Times New Roman" w:hAnsi="Times New Roman" w:eastAsia="Times New Roman"/>
          <w:b w:val="0"/>
          <w:i w:val="0"/>
          <w:color w:val="1A1A1A"/>
          <w:sz w:val="28"/>
        </w:rPr>
        <w:t>Реквизиты банковского счёта административного истца.</w:t>
      </w:r>
    </w:p>
    <w:p>
      <w:pPr>
        <w:spacing w:before="0" w:after="120" w:line="276" w:lineRule="auto"/>
        <w:ind w:left="360" w:hanging="360"/>
        <w:jc w:val="both"/>
      </w:pPr>
      <w:r>
        <w:rPr>
          <w:rFonts w:ascii="Times New Roman" w:hAnsi="Times New Roman" w:eastAsia="Times New Roman"/>
          <w:color w:val="1A1A1A"/>
          <w:sz w:val="28"/>
        </w:rPr>
        <w:t xml:space="preserve">10. </w:t>
      </w:r>
      <w:r>
        <w:rPr>
          <w:rFonts w:ascii="Times New Roman" w:hAnsi="Times New Roman" w:eastAsia="Times New Roman"/>
          <w:b w:val="0"/>
          <w:i w:val="0"/>
          <w:color w:val="1A1A1A"/>
          <w:sz w:val="28"/>
        </w:rPr>
        <w:t xml:space="preserve">Доверенность представителя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копия документа о высшем юридическом образовании представителя.</w:t>
      </w:r>
    </w:p>
    <w:p>
      <w:pPr>
        <w:spacing w:before="0" w:after="120" w:line="276" w:lineRule="auto"/>
        <w:ind w:left="360" w:hanging="360"/>
        <w:jc w:val="both"/>
      </w:pPr>
      <w:r>
        <w:rPr>
          <w:rFonts w:ascii="Times New Roman" w:hAnsi="Times New Roman" w:eastAsia="Times New Roman"/>
          <w:color w:val="1A1A1A"/>
          <w:sz w:val="28"/>
        </w:rPr>
        <w:t xml:space="preserve">11. </w:t>
      </w:r>
      <w:r>
        <w:rPr>
          <w:rFonts w:ascii="Times New Roman" w:hAnsi="Times New Roman" w:eastAsia="Times New Roman"/>
          <w:b w:val="0"/>
          <w:i w:val="0"/>
          <w:color w:val="1A1A1A"/>
          <w:sz w:val="28"/>
        </w:rPr>
        <w:t>Документы, подтверждающие направление копий административного искового заявления и приложений административным ответчикам.</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Административное исковое заявление о компенсации за нарушение условий содержания под стражей</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