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Руководителю (заместителю руководителя)</w:t>
      </w:r>
    </w:p>
    <w:p>
      <w:pPr>
        <w:spacing w:before="0" w:after="0" w:line="240" w:lineRule="auto"/>
        <w:jc w:val="right"/>
      </w:pPr>
      <w:r>
        <w:rPr>
          <w:rFonts w:ascii="Times New Roman" w:hAnsi="Times New Roman" w:eastAsia="Times New Roman"/>
          <w:b w:val="0"/>
          <w:i w:val="0"/>
          <w:color w:val="1A1A1A"/>
          <w:sz w:val="28"/>
        </w:rPr>
        <w:t>[наименование налогового органа]</w:t>
      </w:r>
    </w:p>
    <w:p>
      <w:pPr>
        <w:spacing w:before="0" w:after="0" w:line="240" w:lineRule="auto"/>
        <w:jc w:val="right"/>
      </w:pPr>
      <w:r>
        <w:rPr>
          <w:rFonts w:ascii="Times New Roman" w:hAnsi="Times New Roman" w:eastAsia="Times New Roman"/>
          <w:b w:val="0"/>
          <w:i w:val="0"/>
          <w:color w:val="1A1A1A"/>
          <w:sz w:val="28"/>
        </w:rPr>
        <w:t>[адрес налогового органа]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организации]</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КПП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заявителя: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представителя]</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для корреспонденции: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ЗАЯВЛЕНИЕ</w:t>
      </w:r>
    </w:p>
    <w:p>
      <w:pPr>
        <w:keepNext/>
        <w:spacing w:before="200" w:after="160" w:line="240" w:lineRule="auto"/>
        <w:jc w:val="center"/>
      </w:pPr>
      <w:r>
        <w:rPr>
          <w:rFonts w:ascii="Times New Roman" w:hAnsi="Times New Roman" w:eastAsia="Times New Roman"/>
          <w:b/>
          <w:i w:val="0"/>
          <w:color w:val="1A1A1A"/>
          <w:sz w:val="28"/>
        </w:rPr>
        <w:t>о замене обеспечительных мер банковской гарантией</w:t>
      </w:r>
    </w:p>
    <w:p>
      <w:pPr>
        <w:spacing w:before="0" w:after="120" w:line="276" w:lineRule="auto"/>
        <w:ind w:firstLine="709"/>
        <w:jc w:val="both"/>
      </w:pPr>
      <w:r>
        <w:rPr>
          <w:rFonts w:ascii="Times New Roman" w:hAnsi="Times New Roman" w:eastAsia="Times New Roman"/>
          <w:b w:val="0"/>
          <w:i w:val="0"/>
          <w:color w:val="1A1A1A"/>
          <w:sz w:val="28"/>
        </w:rPr>
        <w:t xml:space="preserve">По результатам выездной налоговой проверки за период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налогового органа]</w:t>
      </w:r>
      <w:r>
        <w:rPr>
          <w:rFonts w:ascii="Times New Roman" w:hAnsi="Times New Roman" w:eastAsia="Times New Roman"/>
          <w:b w:val="0"/>
          <w:i w:val="0"/>
          <w:color w:val="1A1A1A"/>
          <w:sz w:val="28"/>
        </w:rPr>
        <w:t xml:space="preserve"> вынесено решение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привлечении </w:t>
      </w:r>
      <w:r>
        <w:rPr>
          <w:rFonts w:ascii="Times New Roman" w:hAnsi="Times New Roman" w:eastAsia="Times New Roman"/>
          <w:b w:val="0"/>
          <w:i w:val="0"/>
          <w:color w:val="1A1A1A"/>
          <w:sz w:val="28"/>
        </w:rPr>
        <w:t>[наименование организации]</w:t>
      </w:r>
      <w:r>
        <w:rPr>
          <w:rFonts w:ascii="Times New Roman" w:hAnsi="Times New Roman" w:eastAsia="Times New Roman"/>
          <w:b w:val="0"/>
          <w:i w:val="0"/>
          <w:color w:val="1A1A1A"/>
          <w:sz w:val="28"/>
        </w:rPr>
        <w:t xml:space="preserve"> (далее — заявитель) к ответственности за совершение налогового правонарушения (далее — решение по проверке). Решением по проверке заявителю доначислены налоги в сумме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пени в сумме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и штрафы в сумме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всего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Решение по проверке вручено заявителю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руководителем (заместителем руководителя) </w:t>
      </w:r>
      <w:r>
        <w:rPr>
          <w:rFonts w:ascii="Times New Roman" w:hAnsi="Times New Roman" w:eastAsia="Times New Roman"/>
          <w:b w:val="0"/>
          <w:i w:val="0"/>
          <w:color w:val="1A1A1A"/>
          <w:sz w:val="28"/>
        </w:rPr>
        <w:t>[наименование налогового органа]</w:t>
      </w:r>
      <w:r>
        <w:rPr>
          <w:rFonts w:ascii="Times New Roman" w:hAnsi="Times New Roman" w:eastAsia="Times New Roman"/>
          <w:b w:val="0"/>
          <w:i w:val="0"/>
          <w:color w:val="1A1A1A"/>
          <w:sz w:val="28"/>
        </w:rPr>
        <w:t xml:space="preserve"> вынесено решение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принятии обеспечительных мер (далее — решение о мерах). Решением о мерах запрещено отчуждение (передача в залог) без согласия налогового органа имущества заявителя балансовой стоимостью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w:t>
      </w:r>
      <w:r>
        <w:rPr>
          <w:rFonts w:ascii="Times New Roman" w:hAnsi="Times New Roman" w:eastAsia="Times New Roman"/>
          <w:b w:val="0"/>
          <w:i w:val="0"/>
          <w:color w:val="1A1A1A"/>
          <w:sz w:val="28"/>
        </w:rPr>
        <w:t>[перечень имущества с кадастровыми, регистрационными номерами]</w:t>
      </w:r>
      <w:r>
        <w:rPr>
          <w:rFonts w:ascii="Times New Roman" w:hAnsi="Times New Roman" w:eastAsia="Times New Roman"/>
          <w:b w:val="0"/>
          <w:i w:val="0"/>
          <w:color w:val="1A1A1A"/>
          <w:sz w:val="28"/>
        </w:rPr>
        <w:t xml:space="preserve">. Этим же решением приостановлены операции по счетам заявителя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на сумму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 xml:space="preserve">Копия решения о мерах получена заявителем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Заявитель не согласен с решением по проверке.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заявитель подал в </w:t>
      </w:r>
      <w:r>
        <w:rPr>
          <w:rFonts w:ascii="Times New Roman" w:hAnsi="Times New Roman" w:eastAsia="Times New Roman"/>
          <w:b w:val="0"/>
          <w:i w:val="0"/>
          <w:color w:val="1A1A1A"/>
          <w:sz w:val="28"/>
        </w:rPr>
        <w:t>[наименование вышестоящего налогового органа]</w:t>
      </w:r>
      <w:r>
        <w:rPr>
          <w:rFonts w:ascii="Times New Roman" w:hAnsi="Times New Roman" w:eastAsia="Times New Roman"/>
          <w:b w:val="0"/>
          <w:i w:val="0"/>
          <w:color w:val="1A1A1A"/>
          <w:sz w:val="28"/>
        </w:rPr>
        <w:t xml:space="preserve"> через </w:t>
      </w:r>
      <w:r>
        <w:rPr>
          <w:rFonts w:ascii="Times New Roman" w:hAnsi="Times New Roman" w:eastAsia="Times New Roman"/>
          <w:b w:val="0"/>
          <w:i w:val="0"/>
          <w:color w:val="1A1A1A"/>
          <w:sz w:val="28"/>
        </w:rPr>
        <w:t>[наименование налогового органа]</w:t>
      </w:r>
      <w:r>
        <w:rPr>
          <w:rFonts w:ascii="Times New Roman" w:hAnsi="Times New Roman" w:eastAsia="Times New Roman"/>
          <w:b w:val="0"/>
          <w:i w:val="0"/>
          <w:color w:val="1A1A1A"/>
          <w:sz w:val="28"/>
        </w:rPr>
        <w:t xml:space="preserve"> апелляционную жалобу на решение по проверке (ст. 139.1 НК РФ). Решение по апелляционной жалобе не принято.</w:t>
      </w:r>
    </w:p>
    <w:p>
      <w:pPr>
        <w:spacing w:before="0" w:after="120" w:line="276" w:lineRule="auto"/>
        <w:ind w:firstLine="709"/>
        <w:jc w:val="both"/>
      </w:pPr>
      <w:r>
        <w:rPr>
          <w:rFonts w:ascii="Times New Roman" w:hAnsi="Times New Roman" w:eastAsia="Times New Roman"/>
          <w:b w:val="0"/>
          <w:i w:val="0"/>
          <w:color w:val="1A1A1A"/>
          <w:sz w:val="28"/>
        </w:rPr>
        <w:t xml:space="preserve">Принятые меры парализуют хозяйственную деятельность заявителя: приостановление операций по счетам не позволяет </w:t>
      </w:r>
      <w:r>
        <w:rPr>
          <w:rFonts w:ascii="Times New Roman" w:hAnsi="Times New Roman" w:eastAsia="Times New Roman"/>
          <w:b w:val="0"/>
          <w:i w:val="0"/>
          <w:color w:val="1A1A1A"/>
          <w:sz w:val="28"/>
        </w:rPr>
        <w:t>[выплачивать заработную плату работникам, рассчитываться с поставщиками по договорам № [номер]</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а запрет на отчуждение имущества препятствует исполнению договора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w:t>
      </w:r>
      <w:r>
        <w:rPr>
          <w:rFonts w:ascii="Times New Roman" w:hAnsi="Times New Roman" w:eastAsia="Times New Roman"/>
          <w:b w:val="0"/>
          <w:i w:val="0"/>
          <w:color w:val="1A1A1A"/>
          <w:sz w:val="28"/>
        </w:rPr>
        <w:t>[наименование контрагента]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Для замены обеспечительных мер </w:t>
      </w:r>
      <w:r>
        <w:rPr>
          <w:rFonts w:ascii="Times New Roman" w:hAnsi="Times New Roman" w:eastAsia="Times New Roman"/>
          <w:b w:val="0"/>
          <w:i w:val="0"/>
          <w:color w:val="1A1A1A"/>
          <w:sz w:val="28"/>
        </w:rPr>
        <w:t>[наименование банка-гаранта]</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по заявлению заявителя выдана банковская гарантия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сумму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со сроком действия до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(далее — гарантия). Гарантия подписана усиленной квалифицированной электронной подписью гаранта и направлена гарантом в </w:t>
      </w:r>
      <w:r>
        <w:rPr>
          <w:rFonts w:ascii="Times New Roman" w:hAnsi="Times New Roman" w:eastAsia="Times New Roman"/>
          <w:b w:val="0"/>
          <w:i w:val="0"/>
          <w:color w:val="1A1A1A"/>
          <w:sz w:val="28"/>
        </w:rPr>
        <w:t>[наименование налогового органа]</w:t>
      </w:r>
      <w:r>
        <w:rPr>
          <w:rFonts w:ascii="Times New Roman" w:hAnsi="Times New Roman" w:eastAsia="Times New Roman"/>
          <w:b w:val="0"/>
          <w:i w:val="0"/>
          <w:color w:val="1A1A1A"/>
          <w:sz w:val="28"/>
        </w:rPr>
        <w:t xml:space="preserve"> в электронной форме по телекоммуникационным каналам связи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По просьбе лица, в отношении которого вынесено решение о принятии обеспечительных мер, налоговый орган вправе заменить обеспечительные меры, предусмотренные п. 10 ст. 101 НК РФ, полностью или частично на банковскую гарантию, отвечающую требованиям ст. 74.1 НК РФ, по которой гарант обязуется уплатить указанную в решении по проверке сумму задолженности в случае её неуплаты принципалом в установленный срок по требованию налогового органа (подп. 1 п. 11 ст. 101 НК РФ). Решение о замене обеспечительных мер принимает руководитель (заместитель руководителя) налогового органа; решение вступает в силу со дня его вынесения (абз. 2 п. 10 ст. 101 НК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При предоставлении налогоплательщиком или гарантом действующей банковской гарантии на сумму, подлежащую уплате на основании решения о привлечении к ответственности за совершение налогового правонарушения, налоговый орган не вправе отказать налогоплательщику в замене обеспечительных мер (п. 12 ст. 101 НК РФ). Сумма гарантии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равна общей сумме недоимки, пеней и штрафов по решению по проверке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Срок действия гарантии на дату подачи заявления не истёк.</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Гарантия соответствует требованиям ст. 74.1 НК РФ. Гарант —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 включён в перечень банков, отвечающих установленным требованиям для принятия банковских гарантий в целях налогообложения, который ведёт Министерство финансов Российской Федерации (п. 3 ст. 74.1 НК РФ), по состоянию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Гарантия безотзывная и непередаваемая, не содержит указания на представление налоговым органом гаранту документов, не предусмотренных ст. 74.1 НК РФ, и предусматривает применение мер по взысканию с гаранта в порядке и сроки, установленные ст. 46 и 47 НК РФ (подп. 1, 2, 5 п. 5 ст. 74.1 НК РФ). Сумма гарантии не превышает максимальную сумму одной банковской гарантии, установленную для гаранта в соответствии с п. 8.1 ст. 74.1 НК РФ. Гарантия подписана усиленной квалифицированной электронной подписью и направлена в налоговый орган гарантом в электронной форме по телекоммуникационным каналам связи (абз. 2 п. 2 ст. 74.1 НК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Приостановление операций по счетам в порядке обеспечительных мер допускается только в отношении разницы между общей суммой недоимки, пеней и штрафов по решению по проверке и стоимостью имущества, на которое наложен запрет на отчуждение (абз. 3 подп. 2 п. 10 ст. 101 НК РФ). С предоставлением гарантии на полную сумму задолженности по решению по проверке основания для сохранения обеих мер отпадают: исполнение решения по проверке обеспечено обязательством гаранта.</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Приостановление операций по счетам налогоплательщика-организации в банке отменяется в случаях, указанных в п. 10 ст. 101 НК РФ (п. 9.1 ст. 76 НК РФ). Копия решения о замене (отмене) обеспечительных мер в течение пяти дней после дня его вынесения вручается лицу, в отношении которого оно вынесено, или его представителю либо передаётся иным способом, свидетельствующим о дате получения (п. 13 ст. 101 НК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п. 10–13 ст. 101, ст. 74.1 НК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Заменить обеспечительные меры, принятые решением </w:t>
      </w:r>
      <w:r>
        <w:rPr>
          <w:rFonts w:ascii="Times New Roman" w:hAnsi="Times New Roman" w:eastAsia="Times New Roman"/>
          <w:b w:val="0"/>
          <w:i w:val="0"/>
          <w:color w:val="1A1A1A"/>
          <w:sz w:val="28"/>
        </w:rPr>
        <w:t>[наименование налогового органа]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 принятии обеспечительных мер, полностью на банковскую гарантию </w:t>
      </w:r>
      <w:r>
        <w:rPr>
          <w:rFonts w:ascii="Times New Roman" w:hAnsi="Times New Roman" w:eastAsia="Times New Roman"/>
          <w:b w:val="0"/>
          <w:i w:val="0"/>
          <w:color w:val="1A1A1A"/>
          <w:sz w:val="28"/>
        </w:rPr>
        <w:t>[наименование банка-гаранта]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на сумму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Отменить запрет на отчуждение (передачу в залог) без согласия налогового органа имущества заявителя, указанного в решении о принятии обеспечительных мер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Отменить приостановление операций по счетам заявителя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и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принятое в порядке обеспечительных мер, и направить в банки решения об отмене приостановления операций по счетам.</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Копию решения о замене обеспечительных мер направить заявителю в электронной форме по телекоммуникационным каналам связи.</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решения о привлечении к ответственности за совершение налогового правонарушения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решения о принятии обеспечительных мер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Копия апелляционной жалобы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 квитанцией о приёме налоговым органом.</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Копия банковской гарантии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(оригинал направлен гарантом в электронной форме по телекоммуникационным каналам связи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Сведения о включении </w:t>
      </w:r>
      <w:r>
        <w:rPr>
          <w:rFonts w:ascii="Times New Roman" w:hAnsi="Times New Roman" w:eastAsia="Times New Roman"/>
          <w:b w:val="0"/>
          <w:i w:val="0"/>
          <w:color w:val="1A1A1A"/>
          <w:sz w:val="28"/>
        </w:rPr>
        <w:t>[наименование банка]</w:t>
      </w:r>
      <w:r>
        <w:rPr>
          <w:rFonts w:ascii="Times New Roman" w:hAnsi="Times New Roman" w:eastAsia="Times New Roman"/>
          <w:b w:val="0"/>
          <w:i w:val="0"/>
          <w:color w:val="1A1A1A"/>
          <w:sz w:val="28"/>
        </w:rPr>
        <w:t xml:space="preserve"> в перечень банков, отвечающих установленным требованиям для принятия банковских гарантий в целях налогообложения, по состоянию 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 xml:space="preserve">Копия доверенности представителя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руководителя или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 замене обеспечительных мер банковской гарантией</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