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240" w:lineRule="auto"/>
        <w:jc w:val="right"/>
      </w:pPr>
      <w:r>
        <w:rPr>
          <w:rFonts w:ascii="Times New Roman" w:hAnsi="Times New Roman" w:eastAsia="Times New Roman"/>
          <w:b w:val="0"/>
          <w:i w:val="0"/>
          <w:color w:val="1A1A1A"/>
          <w:sz w:val="28"/>
        </w:rPr>
        <w:t xml:space="preserve">В </w:t>
      </w:r>
      <w:r>
        <w:rPr>
          <w:rFonts w:ascii="Times New Roman" w:hAnsi="Times New Roman" w:eastAsia="Times New Roman"/>
          <w:b w:val="0"/>
          <w:i w:val="0"/>
          <w:color w:val="1A1A1A"/>
          <w:sz w:val="28"/>
        </w:rPr>
        <w:t>[наименование]</w:t>
      </w:r>
      <w:r>
        <w:rPr>
          <w:rFonts w:ascii="Times New Roman" w:hAnsi="Times New Roman" w:eastAsia="Times New Roman"/>
          <w:b w:val="0"/>
          <w:i w:val="0"/>
          <w:color w:val="1A1A1A"/>
          <w:sz w:val="28"/>
        </w:rPr>
        <w:t xml:space="preserve"> районный суд </w:t>
      </w:r>
      <w:r>
        <w:rPr>
          <w:rFonts w:ascii="Times New Roman" w:hAnsi="Times New Roman" w:eastAsia="Times New Roman"/>
          <w:b w:val="0"/>
          <w:i w:val="0"/>
          <w:color w:val="1A1A1A"/>
          <w:sz w:val="28"/>
        </w:rPr>
        <w:t>[города]</w:t>
      </w:r>
    </w:p>
    <w:p>
      <w:pPr>
        <w:spacing w:before="0" w:after="0" w:line="240" w:lineRule="auto"/>
        <w:jc w:val="right"/>
      </w:pPr>
      <w:r>
        <w:rPr>
          <w:rFonts w:ascii="Times New Roman" w:hAnsi="Times New Roman" w:eastAsia="Times New Roman"/>
          <w:b w:val="0"/>
          <w:i w:val="0"/>
          <w:color w:val="1A1A1A"/>
          <w:sz w:val="28"/>
        </w:rPr>
        <w:t>[адрес суда]</w:t>
      </w:r>
    </w:p>
    <w:p>
      <w:pPr>
        <w:spacing w:before="0" w:after="0" w:line="240" w:lineRule="auto"/>
        <w:jc w:val="right"/>
      </w:pPr>
    </w:p>
    <w:p>
      <w:pPr>
        <w:spacing w:before="0" w:after="0" w:line="240" w:lineRule="auto"/>
        <w:jc w:val="right"/>
      </w:pPr>
      <w:r>
        <w:rPr>
          <w:rFonts w:ascii="Times New Roman" w:hAnsi="Times New Roman" w:eastAsia="Times New Roman"/>
          <w:b/>
          <w:i w:val="0"/>
          <w:color w:val="1A1A1A"/>
          <w:sz w:val="28"/>
        </w:rPr>
        <w:t>Заявитель:</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[полное наименование страховой организации]</w:t>
      </w:r>
    </w:p>
    <w:p>
      <w:pPr>
        <w:spacing w:before="0" w:after="0" w:line="240" w:lineRule="auto"/>
        <w:jc w:val="right"/>
      </w:pPr>
      <w:r>
        <w:rPr>
          <w:rFonts w:ascii="Times New Roman" w:hAnsi="Times New Roman" w:eastAsia="Times New Roman"/>
          <w:b w:val="0"/>
          <w:i w:val="0"/>
          <w:color w:val="1A1A1A"/>
          <w:sz w:val="28"/>
        </w:rPr>
        <w:t xml:space="preserve">адрес: </w:t>
      </w:r>
      <w:r>
        <w:rPr>
          <w:rFonts w:ascii="Times New Roman" w:hAnsi="Times New Roman" w:eastAsia="Times New Roman"/>
          <w:b w:val="0"/>
          <w:i w:val="0"/>
          <w:color w:val="1A1A1A"/>
          <w:sz w:val="28"/>
        </w:rPr>
        <w:t>[адрес юридического лица по ЕГРЮЛ]</w:t>
      </w:r>
    </w:p>
    <w:p>
      <w:pPr>
        <w:spacing w:before="0" w:after="0" w:line="240" w:lineRule="auto"/>
        <w:jc w:val="right"/>
      </w:pPr>
      <w:r>
        <w:rPr>
          <w:rFonts w:ascii="Times New Roman" w:hAnsi="Times New Roman" w:eastAsia="Times New Roman"/>
          <w:b w:val="0"/>
          <w:i w:val="0"/>
          <w:color w:val="1A1A1A"/>
          <w:sz w:val="28"/>
        </w:rPr>
        <w:t xml:space="preserve">ИНН: </w:t>
      </w:r>
      <w:r>
        <w:rPr>
          <w:rFonts w:ascii="Times New Roman" w:hAnsi="Times New Roman" w:eastAsia="Times New Roman"/>
          <w:b w:val="0"/>
          <w:i w:val="0"/>
          <w:color w:val="1A1A1A"/>
          <w:sz w:val="28"/>
        </w:rPr>
        <w:t>[ИНН]</w:t>
      </w:r>
      <w:r>
        <w:rPr>
          <w:rFonts w:ascii="Times New Roman" w:hAnsi="Times New Roman" w:eastAsia="Times New Roman"/>
          <w:b w:val="0"/>
          <w:i w:val="0"/>
          <w:color w:val="1A1A1A"/>
          <w:sz w:val="28"/>
        </w:rPr>
        <w:t xml:space="preserve">, ОГРН: </w:t>
      </w:r>
      <w:r>
        <w:rPr>
          <w:rFonts w:ascii="Times New Roman" w:hAnsi="Times New Roman" w:eastAsia="Times New Roman"/>
          <w:b w:val="0"/>
          <w:i w:val="0"/>
          <w:color w:val="1A1A1A"/>
          <w:sz w:val="28"/>
        </w:rPr>
        <w:t>[ОГРН]</w:t>
      </w:r>
    </w:p>
    <w:p>
      <w:pPr>
        <w:spacing w:before="0" w:after="0" w:line="240" w:lineRule="auto"/>
        <w:jc w:val="right"/>
      </w:pPr>
      <w:r>
        <w:rPr>
          <w:rFonts w:ascii="Times New Roman" w:hAnsi="Times New Roman" w:eastAsia="Times New Roman"/>
          <w:b w:val="0"/>
          <w:i w:val="0"/>
          <w:color w:val="1A1A1A"/>
          <w:sz w:val="28"/>
        </w:rPr>
        <w:t xml:space="preserve">телефон: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e-mail: </w:t>
      </w:r>
      <w:r>
        <w:rPr>
          <w:rFonts w:ascii="Times New Roman" w:hAnsi="Times New Roman" w:eastAsia="Times New Roman"/>
          <w:b w:val="0"/>
          <w:i w:val="0"/>
          <w:color w:val="1A1A1A"/>
          <w:sz w:val="28"/>
        </w:rPr>
        <w:t>[адрес]</w:t>
      </w:r>
    </w:p>
    <w:p>
      <w:pPr>
        <w:spacing w:before="0" w:after="0" w:line="240" w:lineRule="auto"/>
        <w:jc w:val="right"/>
      </w:pPr>
    </w:p>
    <w:p>
      <w:pPr>
        <w:spacing w:before="0" w:after="0" w:line="240" w:lineRule="auto"/>
        <w:jc w:val="right"/>
      </w:pPr>
      <w:r>
        <w:rPr>
          <w:rFonts w:ascii="Times New Roman" w:hAnsi="Times New Roman" w:eastAsia="Times New Roman"/>
          <w:b/>
          <w:i w:val="0"/>
          <w:color w:val="1A1A1A"/>
          <w:sz w:val="28"/>
        </w:rPr>
        <w:t>Представитель заявителя:</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[ФИО представителя]</w:t>
      </w:r>
      <w:r>
        <w:rPr>
          <w:rFonts w:ascii="Times New Roman" w:hAnsi="Times New Roman" w:eastAsia="Times New Roman"/>
          <w:b w:val="0"/>
          <w:i w:val="0"/>
          <w:color w:val="1A1A1A"/>
          <w:sz w:val="28"/>
        </w:rPr>
        <w:t xml:space="preserve">, доверенность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p>
    <w:p>
      <w:pPr>
        <w:spacing w:before="0" w:after="0" w:line="240" w:lineRule="auto"/>
        <w:jc w:val="right"/>
      </w:pPr>
      <w:r>
        <w:rPr>
          <w:rFonts w:ascii="Times New Roman" w:hAnsi="Times New Roman" w:eastAsia="Times New Roman"/>
          <w:b w:val="0"/>
          <w:i w:val="0"/>
          <w:color w:val="1A1A1A"/>
          <w:sz w:val="28"/>
        </w:rPr>
        <w:t xml:space="preserve">адрес для корреспонденции: </w:t>
      </w:r>
      <w:r>
        <w:rPr>
          <w:rFonts w:ascii="Times New Roman" w:hAnsi="Times New Roman" w:eastAsia="Times New Roman"/>
          <w:b w:val="0"/>
          <w:i w:val="0"/>
          <w:color w:val="1A1A1A"/>
          <w:sz w:val="28"/>
        </w:rPr>
        <w:t>[адрес]</w:t>
      </w:r>
      <w:r>
        <w:rPr>
          <w:rFonts w:ascii="Times New Roman" w:hAnsi="Times New Roman" w:eastAsia="Times New Roman"/>
          <w:b w:val="0"/>
          <w:i w:val="0"/>
          <w:color w:val="1A1A1A"/>
          <w:sz w:val="28"/>
        </w:rPr>
        <w:t xml:space="preserve">, телефон: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e-mail: </w:t>
      </w:r>
      <w:r>
        <w:rPr>
          <w:rFonts w:ascii="Times New Roman" w:hAnsi="Times New Roman" w:eastAsia="Times New Roman"/>
          <w:b w:val="0"/>
          <w:i w:val="0"/>
          <w:color w:val="1A1A1A"/>
          <w:sz w:val="28"/>
        </w:rPr>
        <w:t>[адрес]</w:t>
      </w:r>
    </w:p>
    <w:p>
      <w:pPr>
        <w:spacing w:before="0" w:after="0" w:line="240" w:lineRule="auto"/>
        <w:jc w:val="right"/>
      </w:pPr>
    </w:p>
    <w:p>
      <w:pPr>
        <w:spacing w:before="0" w:after="0" w:line="240" w:lineRule="auto"/>
        <w:jc w:val="right"/>
      </w:pPr>
      <w:r>
        <w:rPr>
          <w:rFonts w:ascii="Times New Roman" w:hAnsi="Times New Roman" w:eastAsia="Times New Roman"/>
          <w:b/>
          <w:i w:val="0"/>
          <w:color w:val="1A1A1A"/>
          <w:sz w:val="28"/>
        </w:rPr>
        <w:t>Заинтересованное лицо:</w:t>
      </w:r>
      <w:r>
        <w:rPr>
          <w:rFonts w:ascii="Times New Roman" w:hAnsi="Times New Roman" w:eastAsia="Times New Roman"/>
          <w:b w:val="0"/>
          <w:i w:val="0"/>
          <w:color w:val="1A1A1A"/>
          <w:sz w:val="28"/>
        </w:rPr>
        <w:t xml:space="preserve"> Финансовый уполномоченный по правам потребителей финансовых услуг </w:t>
      </w:r>
      <w:r>
        <w:rPr>
          <w:rFonts w:ascii="Times New Roman" w:hAnsi="Times New Roman" w:eastAsia="Times New Roman"/>
          <w:b w:val="0"/>
          <w:i w:val="0"/>
          <w:color w:val="1A1A1A"/>
          <w:sz w:val="28"/>
        </w:rPr>
        <w:t>[в сфере страхования]</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[ФИО]</w:t>
      </w:r>
    </w:p>
    <w:p>
      <w:pPr>
        <w:spacing w:before="0" w:after="0" w:line="240" w:lineRule="auto"/>
        <w:jc w:val="right"/>
      </w:pPr>
      <w:r>
        <w:rPr>
          <w:rFonts w:ascii="Times New Roman" w:hAnsi="Times New Roman" w:eastAsia="Times New Roman"/>
          <w:b w:val="0"/>
          <w:i w:val="0"/>
          <w:color w:val="1A1A1A"/>
          <w:sz w:val="28"/>
        </w:rPr>
        <w:t xml:space="preserve">адрес: </w:t>
      </w:r>
      <w:r>
        <w:rPr>
          <w:rFonts w:ascii="Times New Roman" w:hAnsi="Times New Roman" w:eastAsia="Times New Roman"/>
          <w:b w:val="0"/>
          <w:i w:val="0"/>
          <w:color w:val="1A1A1A"/>
          <w:sz w:val="28"/>
        </w:rPr>
        <w:t>[адрес]</w:t>
      </w:r>
    </w:p>
    <w:p>
      <w:pPr>
        <w:spacing w:before="0" w:after="0" w:line="240" w:lineRule="auto"/>
        <w:jc w:val="right"/>
      </w:pPr>
    </w:p>
    <w:p>
      <w:pPr>
        <w:spacing w:before="0" w:after="0" w:line="240" w:lineRule="auto"/>
        <w:jc w:val="right"/>
      </w:pPr>
      <w:r>
        <w:rPr>
          <w:rFonts w:ascii="Times New Roman" w:hAnsi="Times New Roman" w:eastAsia="Times New Roman"/>
          <w:b/>
          <w:i w:val="0"/>
          <w:color w:val="1A1A1A"/>
          <w:sz w:val="28"/>
        </w:rPr>
        <w:t>Заинтересованное лицо (потребитель финансовых услуг):</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[ФИО потребителя]</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[дата и место рождения]</w:t>
      </w:r>
    </w:p>
    <w:p>
      <w:pPr>
        <w:spacing w:before="0" w:after="0" w:line="240" w:lineRule="auto"/>
        <w:jc w:val="right"/>
      </w:pPr>
      <w:r>
        <w:rPr>
          <w:rFonts w:ascii="Times New Roman" w:hAnsi="Times New Roman" w:eastAsia="Times New Roman"/>
          <w:b w:val="0"/>
          <w:i w:val="0"/>
          <w:color w:val="1A1A1A"/>
          <w:sz w:val="28"/>
        </w:rPr>
        <w:t xml:space="preserve">адрес: </w:t>
      </w:r>
      <w:r>
        <w:rPr>
          <w:rFonts w:ascii="Times New Roman" w:hAnsi="Times New Roman" w:eastAsia="Times New Roman"/>
          <w:b w:val="0"/>
          <w:i w:val="0"/>
          <w:color w:val="1A1A1A"/>
          <w:sz w:val="28"/>
        </w:rPr>
        <w:t>[адрес места жительства]</w:t>
      </w:r>
    </w:p>
    <w:p>
      <w:pPr>
        <w:spacing w:before="0" w:after="0" w:line="240" w:lineRule="auto"/>
        <w:jc w:val="right"/>
      </w:pPr>
    </w:p>
    <w:p>
      <w:pPr>
        <w:spacing w:before="0" w:after="0" w:line="240" w:lineRule="auto"/>
        <w:jc w:val="right"/>
      </w:pPr>
      <w:r>
        <w:rPr>
          <w:rFonts w:ascii="Times New Roman" w:hAnsi="Times New Roman" w:eastAsia="Times New Roman"/>
          <w:b w:val="0"/>
          <w:i w:val="0"/>
          <w:color w:val="1A1A1A"/>
          <w:sz w:val="28"/>
        </w:rPr>
        <w:t xml:space="preserve">Оспариваемое решение: решение финансового уполномоченного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p>
    <w:p>
      <w:pPr>
        <w:keepNext/>
        <w:spacing w:before="240" w:after="240" w:line="240" w:lineRule="auto"/>
        <w:jc w:val="center"/>
      </w:pPr>
      <w:r>
        <w:rPr>
          <w:rFonts w:ascii="Times New Roman" w:hAnsi="Times New Roman" w:eastAsia="Times New Roman"/>
          <w:b/>
          <w:color w:val="000000"/>
          <w:sz w:val="28"/>
        </w:rPr>
        <w:t>ЗАЯВЛЕНИЕ</w:t>
      </w:r>
    </w:p>
    <w:p>
      <w:pPr>
        <w:keepNext/>
        <w:spacing w:before="200" w:after="160" w:line="240" w:lineRule="auto"/>
        <w:jc w:val="center"/>
      </w:pPr>
      <w:r>
        <w:rPr>
          <w:rFonts w:ascii="Times New Roman" w:hAnsi="Times New Roman" w:eastAsia="Times New Roman"/>
          <w:b/>
          <w:i w:val="0"/>
          <w:color w:val="1A1A1A"/>
          <w:sz w:val="28"/>
        </w:rPr>
        <w:t>об оспаривании решения финансового уполномоченного по правам потребителей финансовых услуг в части взыскания неустойки</w:t>
      </w:r>
    </w:p>
    <w:p>
      <w:pPr>
        <w:spacing w:before="0" w:after="120" w:line="276" w:lineRule="auto"/>
        <w:ind w:firstLine="709"/>
        <w:jc w:val="both"/>
      </w:pP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в результате дорожно-транспортного происшествия с участием транспортного средства </w:t>
      </w:r>
      <w:r>
        <w:rPr>
          <w:rFonts w:ascii="Times New Roman" w:hAnsi="Times New Roman" w:eastAsia="Times New Roman"/>
          <w:b w:val="0"/>
          <w:i w:val="0"/>
          <w:color w:val="1A1A1A"/>
          <w:sz w:val="28"/>
        </w:rPr>
        <w:t>[марка, модель, государственный регистрационный знак]</w:t>
      </w:r>
      <w:r>
        <w:rPr>
          <w:rFonts w:ascii="Times New Roman" w:hAnsi="Times New Roman" w:eastAsia="Times New Roman"/>
          <w:b w:val="0"/>
          <w:i w:val="0"/>
          <w:color w:val="1A1A1A"/>
          <w:sz w:val="28"/>
        </w:rPr>
        <w:t xml:space="preserve"> под управлением </w:t>
      </w:r>
      <w:r>
        <w:rPr>
          <w:rFonts w:ascii="Times New Roman" w:hAnsi="Times New Roman" w:eastAsia="Times New Roman"/>
          <w:b w:val="0"/>
          <w:i w:val="0"/>
          <w:color w:val="1A1A1A"/>
          <w:sz w:val="28"/>
        </w:rPr>
        <w:t>[ФИО]</w:t>
      </w:r>
      <w:r>
        <w:rPr>
          <w:rFonts w:ascii="Times New Roman" w:hAnsi="Times New Roman" w:eastAsia="Times New Roman"/>
          <w:b w:val="0"/>
          <w:i w:val="0"/>
          <w:color w:val="1A1A1A"/>
          <w:sz w:val="28"/>
        </w:rPr>
        <w:t xml:space="preserve">, гражданская ответственность которого застрахована заявителем по договору ОСАГО серии </w:t>
      </w:r>
      <w:r>
        <w:rPr>
          <w:rFonts w:ascii="Times New Roman" w:hAnsi="Times New Roman" w:eastAsia="Times New Roman"/>
          <w:b w:val="0"/>
          <w:i w:val="0"/>
          <w:color w:val="1A1A1A"/>
          <w:sz w:val="28"/>
        </w:rPr>
        <w:t>[серия]</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повреждено принадлежащее </w:t>
      </w:r>
      <w:r>
        <w:rPr>
          <w:rFonts w:ascii="Times New Roman" w:hAnsi="Times New Roman" w:eastAsia="Times New Roman"/>
          <w:b w:val="0"/>
          <w:i w:val="0"/>
          <w:color w:val="1A1A1A"/>
          <w:sz w:val="28"/>
        </w:rPr>
        <w:t>[ФИО потребителя]</w:t>
      </w:r>
      <w:r>
        <w:rPr>
          <w:rFonts w:ascii="Times New Roman" w:hAnsi="Times New Roman" w:eastAsia="Times New Roman"/>
          <w:b w:val="0"/>
          <w:i w:val="0"/>
          <w:color w:val="1A1A1A"/>
          <w:sz w:val="28"/>
        </w:rPr>
        <w:t xml:space="preserve"> транспортное средство </w:t>
      </w:r>
      <w:r>
        <w:rPr>
          <w:rFonts w:ascii="Times New Roman" w:hAnsi="Times New Roman" w:eastAsia="Times New Roman"/>
          <w:b w:val="0"/>
          <w:i w:val="0"/>
          <w:color w:val="1A1A1A"/>
          <w:sz w:val="28"/>
        </w:rPr>
        <w:t>[марка, модель, государственный регистрационный знак]</w:t>
      </w:r>
      <w:r>
        <w:rPr>
          <w:rFonts w:ascii="Times New Roman" w:hAnsi="Times New Roman" w:eastAsia="Times New Roman"/>
          <w:b w:val="0"/>
          <w:i w:val="0"/>
          <w:color w:val="1A1A1A"/>
          <w:sz w:val="28"/>
        </w:rPr>
        <w:t>.</w:t>
      </w:r>
    </w:p>
    <w:p>
      <w:pPr>
        <w:spacing w:before="0" w:after="120" w:line="276" w:lineRule="auto"/>
        <w:ind w:firstLine="709"/>
        <w:jc w:val="both"/>
      </w:pP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заявитель получил заявление </w:t>
      </w:r>
      <w:r>
        <w:rPr>
          <w:rFonts w:ascii="Times New Roman" w:hAnsi="Times New Roman" w:eastAsia="Times New Roman"/>
          <w:b w:val="0"/>
          <w:i w:val="0"/>
          <w:color w:val="1A1A1A"/>
          <w:sz w:val="28"/>
        </w:rPr>
        <w:t>[ФИО потребителя]</w:t>
      </w:r>
      <w:r>
        <w:rPr>
          <w:rFonts w:ascii="Times New Roman" w:hAnsi="Times New Roman" w:eastAsia="Times New Roman"/>
          <w:b w:val="0"/>
          <w:i w:val="0"/>
          <w:color w:val="1A1A1A"/>
          <w:sz w:val="28"/>
        </w:rPr>
        <w:t xml:space="preserve"> о страховом возмещении с документами, предусмотренными правилами обязательного страхования.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транспортное средство осмотрено,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выплачено страховое возмещение в размере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(платёжное поручение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Выплата произведена в двадцатидневный срок, установленный абзацем первым п. 21 ст. 12 Федерального закона от 25.04.2002 № 40-ФЗ «Об обязательном страховании гражданской ответственности владельцев транспортных средств» (далее — Закон об ОСАГО), последний день которого —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w:t>
      </w:r>
    </w:p>
    <w:p>
      <w:pPr>
        <w:spacing w:before="0" w:after="120" w:line="276" w:lineRule="auto"/>
        <w:ind w:firstLine="709"/>
        <w:jc w:val="both"/>
      </w:pP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потребитель направил претензию с требованием о доплате страхового возмещения и выплате неустойки. По результатам дополнительной проверки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заявитель доплатил страховое возмещение в размере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(платёжное поручение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и выплатил неустойку в размере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(платёжное поручение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w:t>
      </w:r>
    </w:p>
    <w:p>
      <w:pPr>
        <w:spacing w:before="0" w:after="120" w:line="276" w:lineRule="auto"/>
        <w:ind w:firstLine="709"/>
        <w:jc w:val="both"/>
      </w:pPr>
      <w:r>
        <w:rPr>
          <w:rFonts w:ascii="Times New Roman" w:hAnsi="Times New Roman" w:eastAsia="Times New Roman"/>
          <w:b w:val="0"/>
          <w:i w:val="0"/>
          <w:color w:val="1A1A1A"/>
          <w:sz w:val="28"/>
        </w:rPr>
        <w:t xml:space="preserve">Решением финансового уполномоченного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(далее — Решение) с заявителя в пользу </w:t>
      </w:r>
      <w:r>
        <w:rPr>
          <w:rFonts w:ascii="Times New Roman" w:hAnsi="Times New Roman" w:eastAsia="Times New Roman"/>
          <w:b w:val="0"/>
          <w:i w:val="0"/>
          <w:color w:val="1A1A1A"/>
          <w:sz w:val="28"/>
        </w:rPr>
        <w:t>[ФИО потребителя]</w:t>
      </w:r>
      <w:r>
        <w:rPr>
          <w:rFonts w:ascii="Times New Roman" w:hAnsi="Times New Roman" w:eastAsia="Times New Roman"/>
          <w:b w:val="0"/>
          <w:i w:val="0"/>
          <w:color w:val="1A1A1A"/>
          <w:sz w:val="28"/>
        </w:rPr>
        <w:t xml:space="preserve"> взыскана неустойка в размере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за период с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по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Неустойка рассчитана от суммы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то есть от полного размера страхового возмещения, включая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выплаченные в установленный срок, и без учёта неустойки, выплаченной заявителем добровольно. В остальной части требований потребителю отказано.</w:t>
      </w:r>
    </w:p>
    <w:p>
      <w:pPr>
        <w:spacing w:before="0" w:after="120" w:line="276" w:lineRule="auto"/>
        <w:ind w:firstLine="709"/>
        <w:jc w:val="both"/>
      </w:pPr>
      <w:r>
        <w:rPr>
          <w:rFonts w:ascii="Times New Roman" w:hAnsi="Times New Roman" w:eastAsia="Times New Roman"/>
          <w:b w:val="0"/>
          <w:i w:val="0"/>
          <w:color w:val="1A1A1A"/>
          <w:sz w:val="28"/>
        </w:rPr>
        <w:t xml:space="preserve">Решение подписано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получено заявителем через личный кабинет финансовой организации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и вступило в силу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Заявитель оспаривает Решение в части размера взысканной неустойки.</w:t>
      </w:r>
    </w:p>
    <w:p>
      <w:pPr>
        <w:keepNext/>
        <w:spacing w:before="200" w:after="160" w:line="240" w:lineRule="auto"/>
        <w:jc w:val="center"/>
      </w:pPr>
      <w:r>
        <w:rPr>
          <w:rFonts w:ascii="Times New Roman" w:hAnsi="Times New Roman" w:eastAsia="Times New Roman"/>
          <w:b/>
          <w:color w:val="000000"/>
          <w:sz w:val="28"/>
        </w:rPr>
        <w:t>Правовое обоснование</w:t>
      </w:r>
    </w:p>
    <w:p>
      <w:pPr>
        <w:spacing w:before="0" w:after="120" w:line="276" w:lineRule="auto"/>
        <w:ind w:left="360" w:hanging="360"/>
        <w:jc w:val="both"/>
      </w:pPr>
      <w:r>
        <w:rPr>
          <w:rFonts w:ascii="Times New Roman" w:hAnsi="Times New Roman" w:eastAsia="Times New Roman"/>
          <w:color w:val="1A1A1A"/>
          <w:sz w:val="28"/>
        </w:rPr>
        <w:t xml:space="preserve">1. </w:t>
      </w:r>
      <w:r>
        <w:rPr>
          <w:rFonts w:ascii="Times New Roman" w:hAnsi="Times New Roman" w:eastAsia="Times New Roman"/>
          <w:b w:val="0"/>
          <w:i w:val="0"/>
          <w:color w:val="1A1A1A"/>
          <w:sz w:val="28"/>
        </w:rPr>
        <w:t xml:space="preserve">В случае несогласия с решением финансового уполномоченного финансовая организация в течение десяти рабочих дней после дня вступления его в силу вправе обратиться в суд в порядке, установленном гражданским процессуальным законодательством, с заявлением об оспаривании решения полностью либо в части (ч. 1 ст. 26 Федерального закона от 04.06.2018 № 123-ФЗ «Об уполномоченном по правам потребителей финансовых услуг», далее — Закон № 123-ФЗ). Решение вступает в силу по истечении десяти рабочих дней после даты его подписания (ч. 1 ст. 23 Закона № 123-ФЗ). Решение подписано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и вступило в силу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срок на обращение в суд истекает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Заявление подано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в пределах срока. В сроки, исчисляемые днями, нерабочие дни не включаются (ч. 3 ст. 107 ГПК РФ, абзац второй п. 123 постановления Пленума Верховного Суда РФ от 08.11.2022 № 31 «О применении судами законодательства об обязательном страховании гражданской ответственности владельцев транспортных средств», далее — Постановление № 31).</w:t>
      </w:r>
    </w:p>
    <w:p>
      <w:pPr>
        <w:spacing w:before="0" w:after="120" w:line="276" w:lineRule="auto"/>
        <w:ind w:left="360" w:hanging="360"/>
        <w:jc w:val="both"/>
      </w:pPr>
      <w:r>
        <w:rPr>
          <w:rFonts w:ascii="Times New Roman" w:hAnsi="Times New Roman" w:eastAsia="Times New Roman"/>
          <w:color w:val="1A1A1A"/>
          <w:sz w:val="28"/>
        </w:rPr>
        <w:t xml:space="preserve">2. </w:t>
      </w:r>
      <w:r>
        <w:rPr>
          <w:rFonts w:ascii="Times New Roman" w:hAnsi="Times New Roman" w:eastAsia="Times New Roman"/>
          <w:b w:val="0"/>
          <w:i w:val="0"/>
          <w:color w:val="1A1A1A"/>
          <w:sz w:val="28"/>
        </w:rPr>
        <w:t xml:space="preserve">Обращение страховщика в случае его несогласия с решением финансового уполномоченного рассматривается районным судом в порядке гражданского судопроизводства независимо от субъектного состава лиц, участвующих в деле (абзац шестой п. 117 Постановления № 31), по месту жительства потерпевшего — потребителя финансовых услуг (ч. 7 ст. 29 ГПК РФ, п. 120 Постановления № 31). </w:t>
      </w:r>
      <w:r>
        <w:rPr>
          <w:rFonts w:ascii="Times New Roman" w:hAnsi="Times New Roman" w:eastAsia="Times New Roman"/>
          <w:b w:val="0"/>
          <w:i w:val="0"/>
          <w:color w:val="1A1A1A"/>
          <w:sz w:val="28"/>
        </w:rPr>
        <w:t>[ФИО потребителя]</w:t>
      </w:r>
      <w:r>
        <w:rPr>
          <w:rFonts w:ascii="Times New Roman" w:hAnsi="Times New Roman" w:eastAsia="Times New Roman"/>
          <w:b w:val="0"/>
          <w:i w:val="0"/>
          <w:color w:val="1A1A1A"/>
          <w:sz w:val="28"/>
        </w:rPr>
        <w:t xml:space="preserve"> проживает по адресу: </w:t>
      </w:r>
      <w:r>
        <w:rPr>
          <w:rFonts w:ascii="Times New Roman" w:hAnsi="Times New Roman" w:eastAsia="Times New Roman"/>
          <w:b w:val="0"/>
          <w:i w:val="0"/>
          <w:color w:val="1A1A1A"/>
          <w:sz w:val="28"/>
        </w:rPr>
        <w:t>[адрес]</w:t>
      </w:r>
      <w:r>
        <w:rPr>
          <w:rFonts w:ascii="Times New Roman" w:hAnsi="Times New Roman" w:eastAsia="Times New Roman"/>
          <w:b w:val="0"/>
          <w:i w:val="0"/>
          <w:color w:val="1A1A1A"/>
          <w:sz w:val="28"/>
        </w:rPr>
        <w:t xml:space="preserve">, относящемуся к территории </w:t>
      </w:r>
      <w:r>
        <w:rPr>
          <w:rFonts w:ascii="Times New Roman" w:hAnsi="Times New Roman" w:eastAsia="Times New Roman"/>
          <w:b w:val="0"/>
          <w:i w:val="0"/>
          <w:color w:val="1A1A1A"/>
          <w:sz w:val="28"/>
        </w:rPr>
        <w:t>[наименование]</w:t>
      </w:r>
      <w:r>
        <w:rPr>
          <w:rFonts w:ascii="Times New Roman" w:hAnsi="Times New Roman" w:eastAsia="Times New Roman"/>
          <w:b w:val="0"/>
          <w:i w:val="0"/>
          <w:color w:val="1A1A1A"/>
          <w:sz w:val="28"/>
        </w:rPr>
        <w:t xml:space="preserve"> районного суда </w:t>
      </w:r>
      <w:r>
        <w:rPr>
          <w:rFonts w:ascii="Times New Roman" w:hAnsi="Times New Roman" w:eastAsia="Times New Roman"/>
          <w:b w:val="0"/>
          <w:i w:val="0"/>
          <w:color w:val="1A1A1A"/>
          <w:sz w:val="28"/>
        </w:rPr>
        <w:t>[города]</w:t>
      </w:r>
      <w:r>
        <w:rPr>
          <w:rFonts w:ascii="Times New Roman" w:hAnsi="Times New Roman" w:eastAsia="Times New Roman"/>
          <w:b w:val="0"/>
          <w:i w:val="0"/>
          <w:color w:val="1A1A1A"/>
          <w:sz w:val="28"/>
        </w:rPr>
        <w:t>. Страховщик участвует в деле в качестве заявителя, финансовый уполномоченный и потребитель финансовых услуг привлекаются к участию в деле в качестве заинтересованных лиц (абзац второй п. 126 Постановления № 31).</w:t>
      </w:r>
    </w:p>
    <w:p>
      <w:pPr>
        <w:spacing w:before="0" w:after="120" w:line="276" w:lineRule="auto"/>
        <w:ind w:left="360" w:hanging="360"/>
        <w:jc w:val="both"/>
      </w:pPr>
      <w:r>
        <w:rPr>
          <w:rFonts w:ascii="Times New Roman" w:hAnsi="Times New Roman" w:eastAsia="Times New Roman"/>
          <w:color w:val="1A1A1A"/>
          <w:sz w:val="28"/>
        </w:rPr>
        <w:t xml:space="preserve">3. </w:t>
      </w:r>
      <w:r>
        <w:rPr>
          <w:rFonts w:ascii="Times New Roman" w:hAnsi="Times New Roman" w:eastAsia="Times New Roman"/>
          <w:b w:val="0"/>
          <w:i w:val="0"/>
          <w:color w:val="1A1A1A"/>
          <w:sz w:val="28"/>
        </w:rPr>
        <w:t>При несоблюдении срока осуществления страховой выплаты страховщик за каждый день просрочки уплачивает потерпевшему неустойку (пеню) в размере одного процента от определённого в соответствии с Законом об ОСАГО размера страхового возмещения (абзац второй п. 21 ст. 12 Закона об ОСАГО). Неустойка определяется от надлежащего размера страхового возмещения по конкретному страховому случаю за вычетом страхового возмещения, произведённого страховщиком в добровольном порядке в сроки, установленные ст. 12 Закона об ОСАГО (абзац первый п. 76 Постановления № 31).</w:t>
      </w:r>
    </w:p>
    <w:p>
      <w:pPr>
        <w:spacing w:before="0" w:after="120" w:line="276" w:lineRule="auto"/>
        <w:ind w:firstLine="709"/>
        <w:jc w:val="both"/>
      </w:pPr>
      <w:r>
        <w:rPr>
          <w:rFonts w:ascii="Times New Roman" w:hAnsi="Times New Roman" w:eastAsia="Times New Roman"/>
          <w:b w:val="0"/>
          <w:i w:val="0"/>
          <w:color w:val="1A1A1A"/>
          <w:sz w:val="28"/>
        </w:rPr>
        <w:t xml:space="preserve">Страховое возмещение в размере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выплачено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в пределах срока, истекшего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Неустойка подлежит начислению только на сумму доплаты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за период с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(21-й день после получения заявления — абзац второй п. 76 Постановления № 31) по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(день доплаты) — </w:t>
      </w:r>
      <w:r>
        <w:rPr>
          <w:rFonts w:ascii="Times New Roman" w:hAnsi="Times New Roman" w:eastAsia="Times New Roman"/>
          <w:b w:val="0"/>
          <w:i w:val="0"/>
          <w:color w:val="1A1A1A"/>
          <w:sz w:val="28"/>
        </w:rPr>
        <w:t>[количество]</w:t>
      </w:r>
      <w:r>
        <w:rPr>
          <w:rFonts w:ascii="Times New Roman" w:hAnsi="Times New Roman" w:eastAsia="Times New Roman"/>
          <w:b w:val="0"/>
          <w:i w:val="0"/>
          <w:color w:val="1A1A1A"/>
          <w:sz w:val="28"/>
        </w:rPr>
        <w:t xml:space="preserve"> дн.:</w:t>
      </w:r>
    </w:p>
    <w:tbl>
      <w:tblPr>
        <w:tblStyle w:val="TableGrid"/>
        <w:tblW w:type="auto" w:w="0"/>
        <w:jc w:val="center"/>
        <w:tblLayout w:type="fixed"/>
        <w:tblLook w:firstColumn="1" w:firstRow="1" w:lastColumn="0" w:lastRow="0" w:noHBand="0" w:noVBand="1" w:val="04A0"/>
        <w:tblBorders>
          <w:top w:val="single" w:sz="4" w:color="000000"/>
          <w:left w:val="single" w:sz="4" w:color="000000"/>
          <w:bottom w:val="single" w:sz="4" w:color="000000"/>
          <w:right w:val="single" w:sz="4" w:color="000000"/>
          <w:insideH w:val="single" w:sz="4" w:color="000000"/>
          <w:insideV w:val="single" w:sz="4" w:color="000000"/>
        </w:tblBorders>
        <w:tblLayout w:type="fixed"/>
      </w:tblPr>
      <w:tblGrid>
        <w:gridCol w:w="3897"/>
        <w:gridCol w:w="1754"/>
        <w:gridCol w:w="1169"/>
        <w:gridCol w:w="2533"/>
      </w:tblGrid>
      <w:tr>
        <w:trPr>
          <w:cantSplit/>
        </w:trPr>
        <w:tc>
          <w:tcPr>
            <w:tcW w:type="dxa" w:w="3898"/>
          </w:tcPr>
          <w:p>
            <w:pPr>
              <w:keepNext/>
              <w:spacing w:before="0" w:after="20" w:line="240" w:lineRule="auto"/>
              <w:jc w:val="left"/>
            </w:pPr>
            <w:r/>
            <w:r>
              <w:rPr>
                <w:rFonts w:ascii="Times New Roman" w:hAnsi="Times New Roman" w:eastAsia="Times New Roman"/>
                <w:b w:val="0"/>
                <w:i w:val="0"/>
                <w:color w:val="1A1A1A"/>
                <w:sz w:val="24"/>
              </w:rPr>
              <w:t>База, руб.</w:t>
            </w:r>
          </w:p>
        </w:tc>
        <w:tc>
          <w:tcPr>
            <w:tcW w:type="dxa" w:w="1754"/>
          </w:tcPr>
          <w:p>
            <w:pPr>
              <w:keepNext/>
              <w:spacing w:before="0" w:after="20" w:line="240" w:lineRule="auto"/>
              <w:jc w:val="left"/>
            </w:pPr>
            <w:r/>
            <w:r>
              <w:rPr>
                <w:rFonts w:ascii="Times New Roman" w:hAnsi="Times New Roman" w:eastAsia="Times New Roman"/>
                <w:b w:val="0"/>
                <w:i w:val="0"/>
                <w:color w:val="1A1A1A"/>
                <w:sz w:val="24"/>
              </w:rPr>
              <w:t>Период</w:t>
            </w:r>
          </w:p>
        </w:tc>
        <w:tc>
          <w:tcPr>
            <w:tcW w:type="dxa" w:w="1169"/>
          </w:tcPr>
          <w:p>
            <w:pPr>
              <w:keepNext/>
              <w:spacing w:before="0" w:after="20" w:line="240" w:lineRule="auto"/>
              <w:jc w:val="left"/>
            </w:pPr>
            <w:r/>
            <w:r>
              <w:rPr>
                <w:rFonts w:ascii="Times New Roman" w:hAnsi="Times New Roman" w:eastAsia="Times New Roman"/>
                <w:b w:val="0"/>
                <w:i w:val="0"/>
                <w:color w:val="1A1A1A"/>
                <w:sz w:val="24"/>
              </w:rPr>
              <w:t>Дней</w:t>
            </w:r>
          </w:p>
        </w:tc>
        <w:tc>
          <w:tcPr>
            <w:tcW w:type="dxa" w:w="2534"/>
          </w:tcPr>
          <w:p>
            <w:pPr>
              <w:keepNext/>
              <w:spacing w:before="0" w:after="20" w:line="240" w:lineRule="auto"/>
              <w:jc w:val="left"/>
            </w:pPr>
            <w:r/>
            <w:r>
              <w:rPr>
                <w:rFonts w:ascii="Times New Roman" w:hAnsi="Times New Roman" w:eastAsia="Times New Roman"/>
                <w:b w:val="0"/>
                <w:i w:val="0"/>
                <w:color w:val="1A1A1A"/>
                <w:sz w:val="24"/>
              </w:rPr>
              <w:t>Неустойка 1 % в день, руб.</w:t>
            </w:r>
          </w:p>
        </w:tc>
      </w:tr>
      <w:tr>
        <w:trPr>
          <w:cantSplit/>
        </w:trPr>
        <w:tc>
          <w:tcPr>
            <w:tcW w:type="dxa" w:w="3898"/>
          </w:tcPr>
          <w:p>
            <w:pPr>
              <w:keepNext/>
              <w:spacing w:before="0" w:after="20" w:line="240" w:lineRule="auto"/>
              <w:jc w:val="left"/>
            </w:pPr>
            <w:r/>
            <w:r>
              <w:rPr>
                <w:rFonts w:ascii="Times New Roman" w:hAnsi="Times New Roman" w:eastAsia="Times New Roman"/>
                <w:b w:val="0"/>
                <w:i w:val="0"/>
                <w:color w:val="1A1A1A"/>
                <w:sz w:val="24"/>
              </w:rPr>
              <w:t>[сумма доплаты]</w:t>
            </w:r>
          </w:p>
        </w:tc>
        <w:tc>
          <w:tcPr>
            <w:tcW w:type="dxa" w:w="1754"/>
          </w:tcPr>
          <w:p>
            <w:pPr>
              <w:keepNext/>
              <w:spacing w:before="0" w:after="20" w:line="240" w:lineRule="auto"/>
              <w:jc w:val="left"/>
            </w:pPr>
            <w:r/>
            <w:r>
              <w:rPr>
                <w:rFonts w:ascii="Times New Roman" w:hAnsi="Times New Roman" w:eastAsia="Times New Roman"/>
                <w:b w:val="0"/>
                <w:i w:val="0"/>
                <w:color w:val="1A1A1A"/>
                <w:sz w:val="24"/>
              </w:rPr>
              <w:t xml:space="preserve">с </w:t>
            </w:r>
            <w:r>
              <w:rPr>
                <w:rFonts w:ascii="Times New Roman" w:hAnsi="Times New Roman" w:eastAsia="Times New Roman"/>
                <w:b w:val="0"/>
                <w:i w:val="0"/>
                <w:color w:val="1A1A1A"/>
                <w:sz w:val="24"/>
              </w:rPr>
              <w:t>[дата]</w:t>
            </w:r>
            <w:r>
              <w:rPr>
                <w:rFonts w:ascii="Times New Roman" w:hAnsi="Times New Roman" w:eastAsia="Times New Roman"/>
                <w:b w:val="0"/>
                <w:i w:val="0"/>
                <w:color w:val="1A1A1A"/>
                <w:sz w:val="24"/>
              </w:rPr>
              <w:t xml:space="preserve"> по </w:t>
            </w:r>
            <w:r>
              <w:rPr>
                <w:rFonts w:ascii="Times New Roman" w:hAnsi="Times New Roman" w:eastAsia="Times New Roman"/>
                <w:b w:val="0"/>
                <w:i w:val="0"/>
                <w:color w:val="1A1A1A"/>
                <w:sz w:val="24"/>
              </w:rPr>
              <w:t>[дата]</w:t>
            </w:r>
          </w:p>
        </w:tc>
        <w:tc>
          <w:tcPr>
            <w:tcW w:type="dxa" w:w="1169"/>
          </w:tcPr>
          <w:p>
            <w:pPr>
              <w:keepNext/>
              <w:spacing w:before="0" w:after="20" w:line="240" w:lineRule="auto"/>
              <w:jc w:val="left"/>
            </w:pPr>
            <w:r/>
            <w:r>
              <w:rPr>
                <w:rFonts w:ascii="Times New Roman" w:hAnsi="Times New Roman" w:eastAsia="Times New Roman"/>
                <w:b w:val="0"/>
                <w:i w:val="0"/>
                <w:color w:val="1A1A1A"/>
                <w:sz w:val="24"/>
              </w:rPr>
              <w:t>[количество]</w:t>
            </w:r>
          </w:p>
        </w:tc>
        <w:tc>
          <w:tcPr>
            <w:tcW w:type="dxa" w:w="2534"/>
          </w:tcPr>
          <w:p>
            <w:pPr>
              <w:keepNext/>
              <w:spacing w:before="0" w:after="20" w:line="240" w:lineRule="auto"/>
              <w:jc w:val="left"/>
            </w:pPr>
            <w:r/>
            <w:r>
              <w:rPr>
                <w:rFonts w:ascii="Times New Roman" w:hAnsi="Times New Roman" w:eastAsia="Times New Roman"/>
                <w:b w:val="0"/>
                <w:i w:val="0"/>
                <w:color w:val="1A1A1A"/>
                <w:sz w:val="24"/>
              </w:rPr>
              <w:t>[сумма]</w:t>
            </w:r>
          </w:p>
        </w:tc>
      </w:tr>
      <w:tr>
        <w:trPr>
          <w:cantSplit/>
        </w:trPr>
        <w:tc>
          <w:tcPr>
            <w:tcW w:type="dxa" w:w="3898"/>
          </w:tcPr>
          <w:p>
            <w:pPr>
              <w:keepNext/>
              <w:spacing w:before="0" w:after="20" w:line="240" w:lineRule="auto"/>
              <w:jc w:val="left"/>
            </w:pPr>
            <w:r/>
            <w:r>
              <w:rPr>
                <w:rFonts w:ascii="Times New Roman" w:hAnsi="Times New Roman" w:eastAsia="Times New Roman"/>
                <w:b w:val="0"/>
                <w:i w:val="0"/>
                <w:color w:val="1A1A1A"/>
                <w:sz w:val="24"/>
              </w:rPr>
              <w:t xml:space="preserve">За вычетом неустойки, выплаченной </w:t>
            </w:r>
            <w:r>
              <w:rPr>
                <w:rFonts w:ascii="Times New Roman" w:hAnsi="Times New Roman" w:eastAsia="Times New Roman"/>
                <w:b w:val="0"/>
                <w:i w:val="0"/>
                <w:color w:val="1A1A1A"/>
                <w:sz w:val="24"/>
              </w:rPr>
              <w:t>[дата]</w:t>
            </w:r>
          </w:p>
        </w:tc>
        <w:tc>
          <w:tcPr>
            <w:tcW w:type="dxa" w:w="1754"/>
          </w:tcPr>
          <w:p>
            <w:pPr>
              <w:keepNext/>
              <w:spacing w:before="0" w:after="20" w:line="240" w:lineRule="auto"/>
              <w:jc w:val="left"/>
            </w:pPr>
            <w:r/>
          </w:p>
        </w:tc>
        <w:tc>
          <w:tcPr>
            <w:tcW w:type="dxa" w:w="1169"/>
          </w:tcPr>
          <w:p>
            <w:pPr>
              <w:keepNext/>
              <w:spacing w:before="0" w:after="20" w:line="240" w:lineRule="auto"/>
              <w:jc w:val="left"/>
            </w:pPr>
            <w:r/>
          </w:p>
        </w:tc>
        <w:tc>
          <w:tcPr>
            <w:tcW w:type="dxa" w:w="2534"/>
          </w:tcPr>
          <w:p>
            <w:pPr>
              <w:keepNext/>
              <w:spacing w:before="0" w:after="20" w:line="240" w:lineRule="auto"/>
              <w:jc w:val="left"/>
            </w:pPr>
            <w:r/>
            <w:r>
              <w:rPr>
                <w:rFonts w:ascii="Times New Roman" w:hAnsi="Times New Roman" w:eastAsia="Times New Roman"/>
                <w:b w:val="0"/>
                <w:i w:val="0"/>
                <w:color w:val="1A1A1A"/>
                <w:sz w:val="24"/>
              </w:rPr>
              <w:t>[сумма]</w:t>
            </w:r>
          </w:p>
        </w:tc>
      </w:tr>
      <w:tr>
        <w:trPr>
          <w:cantSplit/>
        </w:trPr>
        <w:tc>
          <w:tcPr>
            <w:tcW w:type="dxa" w:w="3898"/>
          </w:tcPr>
          <w:p>
            <w:pPr>
              <w:spacing w:before="0" w:after="20" w:line="240" w:lineRule="auto"/>
              <w:jc w:val="left"/>
            </w:pPr>
            <w:r/>
            <w:r>
              <w:rPr>
                <w:rFonts w:ascii="Times New Roman" w:hAnsi="Times New Roman" w:eastAsia="Times New Roman"/>
                <w:b w:val="0"/>
                <w:i w:val="0"/>
                <w:color w:val="1A1A1A"/>
                <w:sz w:val="24"/>
              </w:rPr>
              <w:t>Итого подлежало взысканию</w:t>
            </w:r>
          </w:p>
        </w:tc>
        <w:tc>
          <w:tcPr>
            <w:tcW w:type="dxa" w:w="1754"/>
          </w:tcPr>
          <w:p>
            <w:pPr>
              <w:spacing w:before="0" w:after="20" w:line="240" w:lineRule="auto"/>
              <w:jc w:val="left"/>
            </w:pPr>
            <w:r/>
          </w:p>
        </w:tc>
        <w:tc>
          <w:tcPr>
            <w:tcW w:type="dxa" w:w="1169"/>
          </w:tcPr>
          <w:p>
            <w:pPr>
              <w:spacing w:before="0" w:after="20" w:line="240" w:lineRule="auto"/>
              <w:jc w:val="left"/>
            </w:pPr>
            <w:r/>
          </w:p>
        </w:tc>
        <w:tc>
          <w:tcPr>
            <w:tcW w:type="dxa" w:w="2534"/>
          </w:tcPr>
          <w:p>
            <w:pPr>
              <w:spacing w:before="0" w:after="20" w:line="240" w:lineRule="auto"/>
              <w:jc w:val="left"/>
            </w:pPr>
            <w:r/>
            <w:r>
              <w:rPr>
                <w:rFonts w:ascii="Times New Roman" w:hAnsi="Times New Roman" w:eastAsia="Times New Roman"/>
                <w:b w:val="0"/>
                <w:i w:val="0"/>
                <w:color w:val="1A1A1A"/>
                <w:sz w:val="24"/>
              </w:rPr>
              <w:t>[сумма]</w:t>
            </w:r>
          </w:p>
        </w:tc>
      </w:tr>
    </w:tbl>
    <w:p>
      <w:pPr>
        <w:spacing w:before="0" w:after="80" w:line="276" w:lineRule="auto"/>
        <w:jc w:val="both"/>
      </w:pPr>
    </w:p>
    <w:p>
      <w:pPr>
        <w:spacing w:before="0" w:after="120" w:line="276" w:lineRule="auto"/>
        <w:ind w:firstLine="709"/>
        <w:jc w:val="both"/>
      </w:pPr>
      <w:r>
        <w:rPr>
          <w:rFonts w:ascii="Times New Roman" w:hAnsi="Times New Roman" w:eastAsia="Times New Roman"/>
          <w:b w:val="0"/>
          <w:i w:val="0"/>
          <w:color w:val="1A1A1A"/>
          <w:sz w:val="28"/>
        </w:rPr>
        <w:t xml:space="preserve">Финансовый уполномоченный начислил неустойку на всю сумму страхового возмещения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в том числе на сумму, выплаченную в срок, и не учёл добровольно выплаченную неустойку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Тем самым требования потребителя удовлетворены в большем, чем положено по закону, объёме на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Решение финансового уполномоченного должно быть обоснованным и соответствовать требованиям федеральных законов (ч. 1 ст. 22 Закона № 123-ФЗ). Если суд придёт к выводу о том, что требования потерпевшего удовлетворены финансовым уполномоченным в большем, чем это положено по закону, объёме, суд изменяет решение финансового уполномоченного в соответствующей части (абзац первый п. 132 Постановления № 31).</w:t>
      </w:r>
    </w:p>
    <w:p>
      <w:pPr>
        <w:spacing w:before="0" w:after="120" w:line="276" w:lineRule="auto"/>
        <w:ind w:left="360" w:hanging="360"/>
        <w:jc w:val="both"/>
      </w:pPr>
      <w:r>
        <w:rPr>
          <w:rFonts w:ascii="Times New Roman" w:hAnsi="Times New Roman" w:eastAsia="Times New Roman"/>
          <w:color w:val="1A1A1A"/>
          <w:sz w:val="28"/>
        </w:rPr>
        <w:t xml:space="preserve">4. </w:t>
      </w:r>
      <w:r>
        <w:rPr>
          <w:rFonts w:ascii="Times New Roman" w:hAnsi="Times New Roman" w:eastAsia="Times New Roman"/>
          <w:b w:val="0"/>
          <w:i w:val="0"/>
          <w:color w:val="1A1A1A"/>
          <w:sz w:val="28"/>
        </w:rPr>
        <w:t>Заявитель, осуществляющий предпринимательскую деятельность, заявляет об уменьшении неустойки на основании п. 1 ст. 333 ГК РФ. Применение ст. 333 ГК РФ возможно лишь в исключительных случаях, когда неустойка явно несоразмерна последствиям нарушенного обязательства; бремя доказывания несоразмерности неустойки и необоснованности выгоды потерпевшего возлагается на страховщика (абзацы первый и второй п. 85 Постановления № 31). Если суд придёт к выводу о том, что размер неустойки подлежит снижению на основании ст. 333 ГК РФ, суд изменяет решение финансового уполномоченного в соответствующей части (абзац первый п. 132 Постановления № 31).</w:t>
      </w:r>
    </w:p>
    <w:p>
      <w:pPr>
        <w:spacing w:before="0" w:after="120" w:line="276" w:lineRule="auto"/>
        <w:ind w:firstLine="709"/>
        <w:jc w:val="both"/>
      </w:pPr>
      <w:r>
        <w:rPr>
          <w:rFonts w:ascii="Times New Roman" w:hAnsi="Times New Roman" w:eastAsia="Times New Roman"/>
          <w:b w:val="0"/>
          <w:i w:val="0"/>
          <w:color w:val="1A1A1A"/>
          <w:sz w:val="28"/>
        </w:rPr>
        <w:t xml:space="preserve">Заявитель учитывает, что снижение неустойки не может быть произвольным и не допускается без представления ответчиком доказательств несоразмерности, а обстоятельства, которые могут служить основанием для снижения, должны быть поставлены на обсуждение сторон, установлены и оценены судом (определение Судебной коллегии по гражданским делам Верховного Суда РФ от 11.10.2022 № 49-КГ22-18-К6). Несоразмерность и необоснованность выгоды могут выражаться, в частности, в том, что возможный размер убытков кредитора, которые могли возникнуть вследствие нарушения обязательства, значительно ниже начисленной неустойки (абзац первый п. 73 постановления Пленума Верховного Суда РФ от 24.03.2016 № 7 «О применении судами некоторых положений Гражданского кодекса Российской Федерации об ответственности за нарушение обязательств», далее — Постановление № 7). Для оценки последствий нарушения используются данные о среднем размере платы по краткосрочным кредитам, выдаваемым физическим лицам, в месте нахождения кредитора в период нарушения обязательства и о показателях инфляции за соответствующий период (п. 74, абзац второй п. 75 Постановления № 7). Несоразмерность неустойки подтверждается следующими доказательствами. Неустойка, взысканная Решением, составляет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и в </w:t>
      </w:r>
      <w:r>
        <w:rPr>
          <w:rFonts w:ascii="Times New Roman" w:hAnsi="Times New Roman" w:eastAsia="Times New Roman"/>
          <w:b w:val="0"/>
          <w:i w:val="0"/>
          <w:color w:val="1A1A1A"/>
          <w:sz w:val="28"/>
        </w:rPr>
        <w:t>[количество]</w:t>
      </w:r>
      <w:r>
        <w:rPr>
          <w:rFonts w:ascii="Times New Roman" w:hAnsi="Times New Roman" w:eastAsia="Times New Roman"/>
          <w:b w:val="0"/>
          <w:i w:val="0"/>
          <w:color w:val="1A1A1A"/>
          <w:sz w:val="28"/>
        </w:rPr>
        <w:t xml:space="preserve"> раза превышает сумму несвоевременно выплаченного страхового возмещения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Средневзвешенная ставка по краткосрочным кредитам физическим лицам в </w:t>
      </w:r>
      <w:r>
        <w:rPr>
          <w:rFonts w:ascii="Times New Roman" w:hAnsi="Times New Roman" w:eastAsia="Times New Roman"/>
          <w:b w:val="0"/>
          <w:i w:val="0"/>
          <w:color w:val="1A1A1A"/>
          <w:sz w:val="28"/>
        </w:rPr>
        <w:t>[наименование субъекта РФ]</w:t>
      </w:r>
      <w:r>
        <w:rPr>
          <w:rFonts w:ascii="Times New Roman" w:hAnsi="Times New Roman" w:eastAsia="Times New Roman"/>
          <w:b w:val="0"/>
          <w:i w:val="0"/>
          <w:color w:val="1A1A1A"/>
          <w:sz w:val="28"/>
        </w:rPr>
        <w:t xml:space="preserve"> за период с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по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составила </w:t>
      </w:r>
      <w:r>
        <w:rPr>
          <w:rFonts w:ascii="Times New Roman" w:hAnsi="Times New Roman" w:eastAsia="Times New Roman"/>
          <w:b w:val="0"/>
          <w:i w:val="0"/>
          <w:color w:val="1A1A1A"/>
          <w:sz w:val="28"/>
        </w:rPr>
        <w:t>[значение]</w:t>
      </w:r>
      <w:r>
        <w:rPr>
          <w:rFonts w:ascii="Times New Roman" w:hAnsi="Times New Roman" w:eastAsia="Times New Roman"/>
          <w:b w:val="0"/>
          <w:i w:val="0"/>
          <w:color w:val="1A1A1A"/>
          <w:sz w:val="28"/>
        </w:rPr>
        <w:t xml:space="preserve"> % годовых (</w:t>
      </w:r>
      <w:r>
        <w:rPr>
          <w:rFonts w:ascii="Times New Roman" w:hAnsi="Times New Roman" w:eastAsia="Times New Roman"/>
          <w:b w:val="0"/>
          <w:i w:val="0"/>
          <w:color w:val="1A1A1A"/>
          <w:sz w:val="28"/>
        </w:rPr>
        <w:t>[источник данных]</w:t>
      </w:r>
      <w:r>
        <w:rPr>
          <w:rFonts w:ascii="Times New Roman" w:hAnsi="Times New Roman" w:eastAsia="Times New Roman"/>
          <w:b w:val="0"/>
          <w:i w:val="0"/>
          <w:color w:val="1A1A1A"/>
          <w:sz w:val="28"/>
        </w:rPr>
        <w:t xml:space="preserve">), плата за пользование суммой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за </w:t>
      </w:r>
      <w:r>
        <w:rPr>
          <w:rFonts w:ascii="Times New Roman" w:hAnsi="Times New Roman" w:eastAsia="Times New Roman"/>
          <w:b w:val="0"/>
          <w:i w:val="0"/>
          <w:color w:val="1A1A1A"/>
          <w:sz w:val="28"/>
        </w:rPr>
        <w:t>[количество]</w:t>
      </w:r>
      <w:r>
        <w:rPr>
          <w:rFonts w:ascii="Times New Roman" w:hAnsi="Times New Roman" w:eastAsia="Times New Roman"/>
          <w:b w:val="0"/>
          <w:i w:val="0"/>
          <w:color w:val="1A1A1A"/>
          <w:sz w:val="28"/>
        </w:rPr>
        <w:t xml:space="preserve"> дн. по этой ставке составляет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Проценты по ст. 395 ГК РФ на ту же сумму за тот же период составляют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инфляция за период — </w:t>
      </w:r>
      <w:r>
        <w:rPr>
          <w:rFonts w:ascii="Times New Roman" w:hAnsi="Times New Roman" w:eastAsia="Times New Roman"/>
          <w:b w:val="0"/>
          <w:i w:val="0"/>
          <w:color w:val="1A1A1A"/>
          <w:sz w:val="28"/>
        </w:rPr>
        <w:t>[значение]</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[источник данных]</w:t>
      </w:r>
      <w:r>
        <w:rPr>
          <w:rFonts w:ascii="Times New Roman" w:hAnsi="Times New Roman" w:eastAsia="Times New Roman"/>
          <w:b w:val="0"/>
          <w:i w:val="0"/>
          <w:color w:val="1A1A1A"/>
          <w:sz w:val="28"/>
        </w:rPr>
        <w:t xml:space="preserve">). Неустойка по ставке 1 % в день равна 365 % годовых и в </w:t>
      </w:r>
      <w:r>
        <w:rPr>
          <w:rFonts w:ascii="Times New Roman" w:hAnsi="Times New Roman" w:eastAsia="Times New Roman"/>
          <w:b w:val="0"/>
          <w:i w:val="0"/>
          <w:color w:val="1A1A1A"/>
          <w:sz w:val="28"/>
        </w:rPr>
        <w:t>[количество]</w:t>
      </w:r>
      <w:r>
        <w:rPr>
          <w:rFonts w:ascii="Times New Roman" w:hAnsi="Times New Roman" w:eastAsia="Times New Roman"/>
          <w:b w:val="0"/>
          <w:i w:val="0"/>
          <w:color w:val="1A1A1A"/>
          <w:sz w:val="28"/>
        </w:rPr>
        <w:t xml:space="preserve"> раз превышает плату по краткосрочным кредитам за тот же период. Доплата страхового возмещения произведена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до обращения потребителя к финансовому уполномоченному, неустойка в размере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 выплачена добровольно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w:t>
      </w:r>
    </w:p>
    <w:p>
      <w:pPr>
        <w:spacing w:before="0" w:after="120" w:line="276" w:lineRule="auto"/>
        <w:ind w:firstLine="709"/>
        <w:jc w:val="both"/>
      </w:pPr>
      <w:r>
        <w:rPr>
          <w:rFonts w:ascii="Times New Roman" w:hAnsi="Times New Roman" w:eastAsia="Times New Roman"/>
          <w:b w:val="0"/>
          <w:i w:val="0"/>
          <w:color w:val="1A1A1A"/>
          <w:sz w:val="28"/>
        </w:rPr>
        <w:t xml:space="preserve">Расчёты приложены к заявлению. С учётом этих показателей заявитель просит уменьшить неустойку до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w:t>
      </w:r>
    </w:p>
    <w:p>
      <w:pPr>
        <w:spacing w:before="0" w:after="120" w:line="276" w:lineRule="auto"/>
        <w:ind w:left="360" w:hanging="360"/>
        <w:jc w:val="both"/>
      </w:pPr>
      <w:r>
        <w:rPr>
          <w:rFonts w:ascii="Times New Roman" w:hAnsi="Times New Roman" w:eastAsia="Times New Roman"/>
          <w:color w:val="1A1A1A"/>
          <w:sz w:val="28"/>
        </w:rPr>
        <w:t xml:space="preserve">5. </w:t>
      </w:r>
      <w:r>
        <w:rPr>
          <w:rFonts w:ascii="Times New Roman" w:hAnsi="Times New Roman" w:eastAsia="Times New Roman"/>
          <w:b w:val="0"/>
          <w:i w:val="0"/>
          <w:color w:val="1A1A1A"/>
          <w:sz w:val="28"/>
        </w:rPr>
        <w:t xml:space="preserve">При обращении в суд финансовая организация вправе направить финансовому уполномоченному ходатайство о приостановлении исполнения его решения; при обжаловании решения в части приостановление осуществляется только в этой части (ч. 2 ст. 26 Закона № 123-ФЗ). Такое ходатайство с документами о подаче настоящего заявления направлено финансовому уполномоченному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Кроме того, по ходатайству страховой организации суд вправе при необходимости приостановить исполнение решения финансового уполномоченного (абзац первый п. 129 Постановления № 31). Необходимость приостановления в оспариваемой части обусловлена тем, что срок исполнения Решения истекает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(ч. 2 ст. 23 Закона № 123-ФЗ), а за неисполнение решения финансового уполномоченного в добровольном порядке суд по заявлению потребителя взыскивает с финансовой организации штраф в размере 50 процентов суммы требования, подлежавшего удовлетворению (ч. 6 ст. 24 Закона № 123-ФЗ).</w:t>
      </w:r>
    </w:p>
    <w:p>
      <w:pPr>
        <w:spacing w:before="0" w:after="120" w:line="276" w:lineRule="auto"/>
        <w:ind w:left="360" w:hanging="360"/>
        <w:jc w:val="both"/>
      </w:pPr>
      <w:r>
        <w:rPr>
          <w:rFonts w:ascii="Times New Roman" w:hAnsi="Times New Roman" w:eastAsia="Times New Roman"/>
          <w:color w:val="1A1A1A"/>
          <w:sz w:val="28"/>
        </w:rPr>
        <w:t xml:space="preserve">6. </w:t>
      </w:r>
      <w:r>
        <w:rPr>
          <w:rFonts w:ascii="Times New Roman" w:hAnsi="Times New Roman" w:eastAsia="Times New Roman"/>
          <w:b w:val="0"/>
          <w:i w:val="0"/>
          <w:color w:val="1A1A1A"/>
          <w:sz w:val="28"/>
        </w:rPr>
        <w:t xml:space="preserve">Копии заявления и приложенных к нему документов, которые у других лиц отсутствуют, направлены финансовому уполномоченному и </w:t>
      </w:r>
      <w:r>
        <w:rPr>
          <w:rFonts w:ascii="Times New Roman" w:hAnsi="Times New Roman" w:eastAsia="Times New Roman"/>
          <w:b w:val="0"/>
          <w:i w:val="0"/>
          <w:color w:val="1A1A1A"/>
          <w:sz w:val="28"/>
        </w:rPr>
        <w:t>[ФИО потребителя]</w:t>
      </w:r>
      <w:r>
        <w:rPr>
          <w:rFonts w:ascii="Times New Roman" w:hAnsi="Times New Roman" w:eastAsia="Times New Roman"/>
          <w:b w:val="0"/>
          <w:i w:val="0"/>
          <w:color w:val="1A1A1A"/>
          <w:sz w:val="28"/>
        </w:rPr>
        <w:t xml:space="preserve">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(ч. 1 ст. 26 Закона № 123-ФЗ, п. 6 ст. 132 ГПК РФ).</w:t>
      </w:r>
    </w:p>
    <w:p>
      <w:pPr>
        <w:spacing w:before="0" w:after="120" w:line="276" w:lineRule="auto"/>
        <w:ind w:firstLine="709"/>
        <w:jc w:val="both"/>
      </w:pPr>
      <w:r>
        <w:rPr>
          <w:rFonts w:ascii="Times New Roman" w:hAnsi="Times New Roman" w:eastAsia="Times New Roman"/>
          <w:b w:val="0"/>
          <w:i w:val="0"/>
          <w:color w:val="1A1A1A"/>
          <w:sz w:val="28"/>
        </w:rPr>
        <w:t>На основании изложенного, руководствуясь ч. 1 ст. 22, ч. 1 и 2 ст. 26 Закона № 123-ФЗ, п. 21 ст. 12 Закона об ОСАГО, ст. 333 ГК РФ, ст. 29, 131, 132 ГПК РФ,</w:t>
      </w:r>
    </w:p>
    <w:p>
      <w:pPr>
        <w:keepNext/>
        <w:spacing w:before="0" w:after="120" w:line="276" w:lineRule="auto"/>
        <w:ind w:firstLine="709"/>
        <w:jc w:val="both"/>
      </w:pPr>
      <w:r>
        <w:rPr>
          <w:rFonts w:ascii="Times New Roman" w:hAnsi="Times New Roman" w:eastAsia="Times New Roman"/>
          <w:b/>
          <w:color w:val="000000"/>
          <w:sz w:val="28"/>
        </w:rPr>
        <w:t>ПРОШУ:</w:t>
      </w:r>
    </w:p>
    <w:p>
      <w:pPr>
        <w:spacing w:before="0" w:after="120" w:line="276" w:lineRule="auto"/>
        <w:ind w:left="360" w:hanging="360"/>
        <w:jc w:val="both"/>
      </w:pPr>
      <w:r>
        <w:rPr>
          <w:rFonts w:ascii="Times New Roman" w:hAnsi="Times New Roman" w:eastAsia="Times New Roman"/>
          <w:color w:val="1A1A1A"/>
          <w:sz w:val="28"/>
        </w:rPr>
        <w:t xml:space="preserve">1. </w:t>
      </w:r>
      <w:r>
        <w:rPr>
          <w:rFonts w:ascii="Times New Roman" w:hAnsi="Times New Roman" w:eastAsia="Times New Roman"/>
          <w:b w:val="0"/>
          <w:i w:val="0"/>
          <w:color w:val="1A1A1A"/>
          <w:sz w:val="28"/>
        </w:rPr>
        <w:t xml:space="preserve">Изменить решение финансового уполномоченного по правам потребителей финансовых услуг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в части взыскания с </w:t>
      </w:r>
      <w:r>
        <w:rPr>
          <w:rFonts w:ascii="Times New Roman" w:hAnsi="Times New Roman" w:eastAsia="Times New Roman"/>
          <w:b w:val="0"/>
          <w:i w:val="0"/>
          <w:color w:val="1A1A1A"/>
          <w:sz w:val="28"/>
        </w:rPr>
        <w:t>[наименование страховой организации]</w:t>
      </w:r>
      <w:r>
        <w:rPr>
          <w:rFonts w:ascii="Times New Roman" w:hAnsi="Times New Roman" w:eastAsia="Times New Roman"/>
          <w:b w:val="0"/>
          <w:i w:val="0"/>
          <w:color w:val="1A1A1A"/>
          <w:sz w:val="28"/>
        </w:rPr>
        <w:t xml:space="preserve"> в пользу </w:t>
      </w:r>
      <w:r>
        <w:rPr>
          <w:rFonts w:ascii="Times New Roman" w:hAnsi="Times New Roman" w:eastAsia="Times New Roman"/>
          <w:b w:val="0"/>
          <w:i w:val="0"/>
          <w:color w:val="1A1A1A"/>
          <w:sz w:val="28"/>
        </w:rPr>
        <w:t>[ФИО потребителя]</w:t>
      </w:r>
      <w:r>
        <w:rPr>
          <w:rFonts w:ascii="Times New Roman" w:hAnsi="Times New Roman" w:eastAsia="Times New Roman"/>
          <w:b w:val="0"/>
          <w:i w:val="0"/>
          <w:color w:val="1A1A1A"/>
          <w:sz w:val="28"/>
        </w:rPr>
        <w:t xml:space="preserve"> неустойки, уменьшив размер неустойки до </w:t>
      </w:r>
      <w:r>
        <w:rPr>
          <w:rFonts w:ascii="Times New Roman" w:hAnsi="Times New Roman" w:eastAsia="Times New Roman"/>
          <w:b w:val="0"/>
          <w:i w:val="0"/>
          <w:color w:val="1A1A1A"/>
          <w:sz w:val="28"/>
        </w:rPr>
        <w:t>[сумма]</w:t>
      </w:r>
      <w:r>
        <w:rPr>
          <w:rFonts w:ascii="Times New Roman" w:hAnsi="Times New Roman" w:eastAsia="Times New Roman"/>
          <w:b w:val="0"/>
          <w:i w:val="0"/>
          <w:color w:val="1A1A1A"/>
          <w:sz w:val="28"/>
        </w:rPr>
        <w:t xml:space="preserve"> руб.</w:t>
      </w:r>
    </w:p>
    <w:p>
      <w:pPr>
        <w:spacing w:before="0" w:after="120" w:line="276" w:lineRule="auto"/>
        <w:ind w:left="360" w:hanging="360"/>
        <w:jc w:val="both"/>
      </w:pPr>
      <w:r>
        <w:rPr>
          <w:rFonts w:ascii="Times New Roman" w:hAnsi="Times New Roman" w:eastAsia="Times New Roman"/>
          <w:color w:val="1A1A1A"/>
          <w:sz w:val="28"/>
        </w:rPr>
        <w:t xml:space="preserve">2. </w:t>
      </w:r>
      <w:r>
        <w:rPr>
          <w:rFonts w:ascii="Times New Roman" w:hAnsi="Times New Roman" w:eastAsia="Times New Roman"/>
          <w:b w:val="0"/>
          <w:i w:val="0"/>
          <w:color w:val="1A1A1A"/>
          <w:sz w:val="28"/>
        </w:rPr>
        <w:t xml:space="preserve">Приостановить исполнение решения финансового уполномоченного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в части взыскания неустойки до вступления в законную силу решения суда по настоящему делу.</w:t>
      </w:r>
    </w:p>
    <w:p>
      <w:pPr>
        <w:spacing w:before="0" w:after="120" w:line="276" w:lineRule="auto"/>
        <w:ind w:left="360" w:hanging="360"/>
        <w:jc w:val="both"/>
      </w:pPr>
      <w:r>
        <w:rPr>
          <w:rFonts w:ascii="Times New Roman" w:hAnsi="Times New Roman" w:eastAsia="Times New Roman"/>
          <w:color w:val="1A1A1A"/>
          <w:sz w:val="28"/>
        </w:rPr>
        <w:t xml:space="preserve">3. </w:t>
      </w:r>
      <w:r>
        <w:rPr>
          <w:rFonts w:ascii="Times New Roman" w:hAnsi="Times New Roman" w:eastAsia="Times New Roman"/>
          <w:b w:val="0"/>
          <w:i w:val="0"/>
          <w:color w:val="1A1A1A"/>
          <w:sz w:val="28"/>
        </w:rPr>
        <w:t xml:space="preserve">Истребовать у финансового уполномоченного копии материалов, положенных в основу решения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w:t>
      </w:r>
    </w:p>
    <w:p>
      <w:pPr>
        <w:keepNext/>
        <w:spacing w:before="200" w:after="160" w:line="240" w:lineRule="auto"/>
        <w:jc w:val="center"/>
      </w:pPr>
      <w:r>
        <w:rPr>
          <w:rFonts w:ascii="Times New Roman" w:hAnsi="Times New Roman" w:eastAsia="Times New Roman"/>
          <w:b/>
          <w:color w:val="000000"/>
          <w:sz w:val="28"/>
        </w:rPr>
        <w:t>Приложения</w:t>
      </w:r>
    </w:p>
    <w:p>
      <w:pPr>
        <w:spacing w:before="0" w:after="120" w:line="276" w:lineRule="auto"/>
        <w:ind w:left="360" w:hanging="360"/>
        <w:jc w:val="both"/>
      </w:pPr>
      <w:r>
        <w:rPr>
          <w:rFonts w:ascii="Times New Roman" w:hAnsi="Times New Roman" w:eastAsia="Times New Roman"/>
          <w:color w:val="1A1A1A"/>
          <w:sz w:val="28"/>
        </w:rPr>
        <w:t xml:space="preserve">1. </w:t>
      </w:r>
      <w:r>
        <w:rPr>
          <w:rFonts w:ascii="Times New Roman" w:hAnsi="Times New Roman" w:eastAsia="Times New Roman"/>
          <w:b w:val="0"/>
          <w:i w:val="0"/>
          <w:color w:val="1A1A1A"/>
          <w:sz w:val="28"/>
        </w:rPr>
        <w:t xml:space="preserve">Копия доверенности представителя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2. </w:t>
      </w:r>
      <w:r>
        <w:rPr>
          <w:rFonts w:ascii="Times New Roman" w:hAnsi="Times New Roman" w:eastAsia="Times New Roman"/>
          <w:b w:val="0"/>
          <w:i w:val="0"/>
          <w:color w:val="1A1A1A"/>
          <w:sz w:val="28"/>
        </w:rPr>
        <w:t xml:space="preserve">Копия решения финансового уполномоченного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с данными о дате его получения заявителем.</w:t>
      </w:r>
    </w:p>
    <w:p>
      <w:pPr>
        <w:spacing w:before="0" w:after="120" w:line="276" w:lineRule="auto"/>
        <w:ind w:left="360" w:hanging="360"/>
        <w:jc w:val="both"/>
      </w:pPr>
      <w:r>
        <w:rPr>
          <w:rFonts w:ascii="Times New Roman" w:hAnsi="Times New Roman" w:eastAsia="Times New Roman"/>
          <w:color w:val="1A1A1A"/>
          <w:sz w:val="28"/>
        </w:rPr>
        <w:t xml:space="preserve">3. </w:t>
      </w:r>
      <w:r>
        <w:rPr>
          <w:rFonts w:ascii="Times New Roman" w:hAnsi="Times New Roman" w:eastAsia="Times New Roman"/>
          <w:b w:val="0"/>
          <w:i w:val="0"/>
          <w:color w:val="1A1A1A"/>
          <w:sz w:val="28"/>
        </w:rPr>
        <w:t xml:space="preserve">Копии заявления потребителя о страховом возмещении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и акта осмотра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4. </w:t>
      </w:r>
      <w:r>
        <w:rPr>
          <w:rFonts w:ascii="Times New Roman" w:hAnsi="Times New Roman" w:eastAsia="Times New Roman"/>
          <w:b w:val="0"/>
          <w:i w:val="0"/>
          <w:color w:val="1A1A1A"/>
          <w:sz w:val="28"/>
        </w:rPr>
        <w:t xml:space="preserve">Копии платёжных поручений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 xml:space="preserve">,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[номер]</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5. </w:t>
      </w:r>
      <w:r>
        <w:rPr>
          <w:rFonts w:ascii="Times New Roman" w:hAnsi="Times New Roman" w:eastAsia="Times New Roman"/>
          <w:b w:val="0"/>
          <w:i w:val="0"/>
          <w:color w:val="1A1A1A"/>
          <w:sz w:val="28"/>
        </w:rPr>
        <w:t xml:space="preserve">Копия претензии потребителя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и ответа заявителя от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6. </w:t>
      </w:r>
      <w:r>
        <w:rPr>
          <w:rFonts w:ascii="Times New Roman" w:hAnsi="Times New Roman" w:eastAsia="Times New Roman"/>
          <w:b w:val="0"/>
          <w:i w:val="0"/>
          <w:color w:val="1A1A1A"/>
          <w:sz w:val="28"/>
        </w:rPr>
        <w:t>Расчёт неустойки, подписанный представителем заявителя.</w:t>
      </w:r>
    </w:p>
    <w:p>
      <w:pPr>
        <w:spacing w:before="0" w:after="120" w:line="276" w:lineRule="auto"/>
        <w:ind w:left="360" w:hanging="360"/>
        <w:jc w:val="both"/>
      </w:pPr>
      <w:r>
        <w:rPr>
          <w:rFonts w:ascii="Times New Roman" w:hAnsi="Times New Roman" w:eastAsia="Times New Roman"/>
          <w:color w:val="1A1A1A"/>
          <w:sz w:val="28"/>
        </w:rPr>
        <w:t xml:space="preserve">7. </w:t>
      </w:r>
      <w:r>
        <w:rPr>
          <w:rFonts w:ascii="Times New Roman" w:hAnsi="Times New Roman" w:eastAsia="Times New Roman"/>
          <w:b w:val="0"/>
          <w:i w:val="0"/>
          <w:color w:val="1A1A1A"/>
          <w:sz w:val="28"/>
        </w:rPr>
        <w:t xml:space="preserve">Расчёт платы по краткосрочным кредитам и процентов по ст. 395 ГК РФ, сведения о средневзвешенных процентных ставках и об инфляции за период с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 xml:space="preserve"> по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8. </w:t>
      </w:r>
      <w:r>
        <w:rPr>
          <w:rFonts w:ascii="Times New Roman" w:hAnsi="Times New Roman" w:eastAsia="Times New Roman"/>
          <w:b w:val="0"/>
          <w:i w:val="0"/>
          <w:color w:val="1A1A1A"/>
          <w:sz w:val="28"/>
        </w:rPr>
        <w:t xml:space="preserve">Копия ходатайства о приостановлении исполнения решения, направленного финансовому уполномоченному </w:t>
      </w:r>
      <w:r>
        <w:rPr>
          <w:rFonts w:ascii="Times New Roman" w:hAnsi="Times New Roman" w:eastAsia="Times New Roman"/>
          <w:b w:val="0"/>
          <w:i w:val="0"/>
          <w:color w:val="1A1A1A"/>
          <w:sz w:val="28"/>
        </w:rPr>
        <w:t>[дата]</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9. </w:t>
      </w:r>
      <w:r>
        <w:rPr>
          <w:rFonts w:ascii="Times New Roman" w:hAnsi="Times New Roman" w:eastAsia="Times New Roman"/>
          <w:b w:val="0"/>
          <w:i w:val="0"/>
          <w:color w:val="1A1A1A"/>
          <w:sz w:val="28"/>
        </w:rPr>
        <w:t xml:space="preserve">Документы, подтверждающие направление копий заявления и приложений финансовому уполномоченному и </w:t>
      </w:r>
      <w:r>
        <w:rPr>
          <w:rFonts w:ascii="Times New Roman" w:hAnsi="Times New Roman" w:eastAsia="Times New Roman"/>
          <w:b w:val="0"/>
          <w:i w:val="0"/>
          <w:color w:val="1A1A1A"/>
          <w:sz w:val="28"/>
        </w:rPr>
        <w:t>[ФИО потребителя]</w:t>
      </w:r>
      <w:r>
        <w:rPr>
          <w:rFonts w:ascii="Times New Roman" w:hAnsi="Times New Roman" w:eastAsia="Times New Roman"/>
          <w:b w:val="0"/>
          <w:i w:val="0"/>
          <w:color w:val="1A1A1A"/>
          <w:sz w:val="28"/>
        </w:rPr>
        <w:t>.</w:t>
      </w:r>
    </w:p>
    <w:p>
      <w:pPr>
        <w:spacing w:before="0" w:after="120" w:line="276" w:lineRule="auto"/>
        <w:ind w:left="360" w:hanging="360"/>
        <w:jc w:val="both"/>
      </w:pPr>
      <w:r>
        <w:rPr>
          <w:rFonts w:ascii="Times New Roman" w:hAnsi="Times New Roman" w:eastAsia="Times New Roman"/>
          <w:color w:val="1A1A1A"/>
          <w:sz w:val="28"/>
        </w:rPr>
        <w:t xml:space="preserve">10. </w:t>
      </w:r>
      <w:r>
        <w:rPr>
          <w:rFonts w:ascii="Times New Roman" w:hAnsi="Times New Roman" w:eastAsia="Times New Roman"/>
          <w:b w:val="0"/>
          <w:i w:val="0"/>
          <w:color w:val="1A1A1A"/>
          <w:sz w:val="28"/>
        </w:rPr>
        <w:t>Выписка из ЕГРЮЛ в отношении заявителя.</w:t>
      </w:r>
    </w:p>
    <w:p>
      <w:pPr>
        <w:spacing w:before="0" w:after="120" w:line="276" w:lineRule="auto"/>
        <w:ind w:firstLine="709"/>
        <w:jc w:val="both"/>
      </w:pPr>
      <w:r>
        <w:rPr>
          <w:rFonts w:ascii="Times New Roman" w:hAnsi="Times New Roman" w:eastAsia="Times New Roman"/>
          <w:b w:val="0"/>
          <w:i w:val="0"/>
          <w:color w:val="1A1A1A"/>
          <w:sz w:val="28"/>
        </w:rPr>
        <w:t>[дата]</w:t>
      </w:r>
    </w:p>
    <w:p>
      <w:pPr>
        <w:spacing w:before="0" w:after="120" w:line="276" w:lineRule="auto"/>
        <w:ind w:firstLine="709"/>
        <w:jc w:val="both"/>
      </w:pPr>
      <w:r>
        <w:rPr>
          <w:rFonts w:ascii="Times New Roman" w:hAnsi="Times New Roman" w:eastAsia="Times New Roman"/>
          <w:b w:val="0"/>
          <w:i w:val="0"/>
          <w:color w:val="1A1A1A"/>
          <w:sz w:val="28"/>
        </w:rPr>
        <w:t>[подпись]</w:t>
      </w:r>
      <w:r>
        <w:rPr>
          <w:rFonts w:ascii="Times New Roman" w:hAnsi="Times New Roman" w:eastAsia="Times New Roman"/>
          <w:b w:val="0"/>
          <w:i w:val="0"/>
          <w:color w:val="1A1A1A"/>
          <w:sz w:val="28"/>
        </w:rPr>
        <w:t xml:space="preserve"> / </w:t>
      </w:r>
      <w:r>
        <w:rPr>
          <w:rFonts w:ascii="Times New Roman" w:hAnsi="Times New Roman" w:eastAsia="Times New Roman"/>
          <w:b w:val="0"/>
          <w:i w:val="0"/>
          <w:color w:val="1A1A1A"/>
          <w:sz w:val="28"/>
        </w:rPr>
        <w:t>[ФИО представителя]</w:t>
      </w:r>
    </w:p>
    <w:sectPr w:rsidR="00FC693F" w:rsidRPr="0006063C" w:rsidSect="00034616">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Заявление страховщика об оспаривании решения финансового уполномоченного</dc:title>
  <dc:subject/>
  <dc:creator>Документы Про — documentspro.ru</dc:creator>
  <cp:keywords/>
  <dc:description>generated by python-docx</dc:description>
  <cp:lastModifiedBy/>
  <cp:revision>1</cp:revision>
  <dcterms:created xsi:type="dcterms:W3CDTF">2013-12-23T23:15:00Z</dcterms:created>
  <dcterms:modified xsi:type="dcterms:W3CDTF">2013-12-23T23:15:00Z</dcterms:modified>
  <cp:category/>
</cp:coreProperties>
</file>