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Арбитражный суд </w:t>
      </w:r>
      <w:r>
        <w:rPr>
          <w:rFonts w:ascii="Times New Roman" w:hAnsi="Times New Roman" w:eastAsia="Times New Roman"/>
          <w:b w:val="0"/>
          <w:i w:val="0"/>
          <w:color w:val="1A1A1A"/>
          <w:sz w:val="28"/>
        </w:rPr>
        <w:t>[наименование субъекта РФ]</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Дело № </w:t>
      </w:r>
      <w:r>
        <w:rPr>
          <w:rFonts w:ascii="Times New Roman" w:hAnsi="Times New Roman" w:eastAsia="Times New Roman"/>
          <w:b w:val="0"/>
          <w:i w:val="0"/>
          <w:color w:val="1A1A1A"/>
          <w:sz w:val="28"/>
        </w:rPr>
        <w:t>[номер дела]</w:t>
      </w:r>
    </w:p>
    <w:p>
      <w:pPr>
        <w:spacing w:before="0" w:after="0" w:line="240" w:lineRule="auto"/>
        <w:jc w:val="right"/>
      </w:pPr>
      <w:r>
        <w:rPr>
          <w:rFonts w:ascii="Times New Roman" w:hAnsi="Times New Roman" w:eastAsia="Times New Roman"/>
          <w:b w:val="0"/>
          <w:i w:val="0"/>
          <w:color w:val="1A1A1A"/>
          <w:sz w:val="28"/>
        </w:rPr>
        <w:t xml:space="preserve">Судья </w:t>
      </w:r>
      <w:r>
        <w:rPr>
          <w:rFonts w:ascii="Times New Roman" w:hAnsi="Times New Roman" w:eastAsia="Times New Roman"/>
          <w:b w:val="0"/>
          <w:i w:val="0"/>
          <w:color w:val="1A1A1A"/>
          <w:sz w:val="28"/>
        </w:rPr>
        <w:t>[ФИО судьи]</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Истец:</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[полное наименование заказчика]</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юридического лица по ЕГРЮЛ]</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Ответчик:</w:t>
      </w:r>
      <w:r>
        <w:rPr>
          <w:rFonts w:ascii="Times New Roman" w:hAnsi="Times New Roman" w:eastAsia="Times New Roman"/>
          <w:b w:val="0"/>
          <w:i w:val="0"/>
          <w:color w:val="1A1A1A"/>
          <w:sz w:val="28"/>
        </w:rPr>
        <w:t xml:space="preserve"> Общество с ограниченной ответственностью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юридического лица по ЕГРЮЛ]</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Представитель ответчика: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доверенность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для корреспонденции: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keepNext/>
        <w:spacing w:before="240" w:after="240" w:line="240" w:lineRule="auto"/>
        <w:jc w:val="center"/>
      </w:pPr>
      <w:r>
        <w:rPr>
          <w:rFonts w:ascii="Times New Roman" w:hAnsi="Times New Roman" w:eastAsia="Times New Roman"/>
          <w:b/>
          <w:color w:val="000000"/>
          <w:sz w:val="28"/>
        </w:rPr>
        <w:t>ОТЗЫВ НА ИСКОВОЕ ЗАЯВЛЕНИЕ</w:t>
      </w:r>
    </w:p>
    <w:p>
      <w:pPr>
        <w:keepNext/>
        <w:spacing w:before="200" w:after="160" w:line="240" w:lineRule="auto"/>
        <w:jc w:val="center"/>
      </w:pPr>
      <w:r>
        <w:rPr>
          <w:rFonts w:ascii="Times New Roman" w:hAnsi="Times New Roman" w:eastAsia="Times New Roman"/>
          <w:b/>
          <w:i w:val="0"/>
          <w:color w:val="1A1A1A"/>
          <w:sz w:val="28"/>
        </w:rPr>
        <w:t xml:space="preserve">о взыскании неустойки за нарушение срока выполнения работ по договору подряда от </w:t>
      </w:r>
      <w:r>
        <w:rPr>
          <w:rFonts w:ascii="Times New Roman" w:hAnsi="Times New Roman" w:eastAsia="Times New Roman"/>
          <w:b/>
          <w:i w:val="0"/>
          <w:color w:val="1A1A1A"/>
          <w:sz w:val="28"/>
        </w:rPr>
        <w:t>[дата]</w:t>
      </w:r>
      <w:r>
        <w:rPr>
          <w:rFonts w:ascii="Times New Roman" w:hAnsi="Times New Roman" w:eastAsia="Times New Roman"/>
          <w:b/>
          <w:i w:val="0"/>
          <w:color w:val="1A1A1A"/>
          <w:sz w:val="28"/>
        </w:rPr>
        <w:t xml:space="preserve"> № </w:t>
      </w:r>
      <w:r>
        <w:rPr>
          <w:rFonts w:ascii="Times New Roman" w:hAnsi="Times New Roman" w:eastAsia="Times New Roman"/>
          <w:b/>
          <w:i w:val="0"/>
          <w:color w:val="1A1A1A"/>
          <w:sz w:val="28"/>
        </w:rPr>
        <w:t>[номер]</w:t>
      </w:r>
    </w:p>
    <w:p>
      <w:pPr>
        <w:spacing w:before="0" w:after="120" w:line="276" w:lineRule="auto"/>
        <w:ind w:firstLine="709"/>
        <w:jc w:val="both"/>
      </w:pPr>
      <w:r>
        <w:rPr>
          <w:rFonts w:ascii="Times New Roman" w:hAnsi="Times New Roman" w:eastAsia="Times New Roman"/>
          <w:b w:val="0"/>
          <w:i w:val="0"/>
          <w:color w:val="1A1A1A"/>
          <w:sz w:val="28"/>
        </w:rPr>
        <w:t>[Полное наименование заказчика]</w:t>
      </w:r>
      <w:r>
        <w:rPr>
          <w:rFonts w:ascii="Times New Roman" w:hAnsi="Times New Roman" w:eastAsia="Times New Roman"/>
          <w:b w:val="0"/>
          <w:i w:val="0"/>
          <w:color w:val="1A1A1A"/>
          <w:sz w:val="28"/>
        </w:rPr>
        <w:t xml:space="preserve"> (далее — истец, заказчик) обратилось с иском о взыскании с ООО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(далее — ответчик, подрядчик) неустойки за нарушение конечного срока выполнения работ по договору подряда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(далее — договор)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за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Определением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исковое заявление принято к производству. Ответчик с иском не согласен по основаниям, изложенным ниже.</w:t>
      </w:r>
    </w:p>
    <w:p>
      <w:pPr>
        <w:spacing w:before="0" w:after="120" w:line="276" w:lineRule="auto"/>
        <w:ind w:firstLine="709"/>
        <w:jc w:val="both"/>
      </w:pPr>
      <w:r>
        <w:rPr>
          <w:rFonts w:ascii="Times New Roman" w:hAnsi="Times New Roman" w:eastAsia="Times New Roman"/>
          <w:b w:val="0"/>
          <w:i w:val="0"/>
          <w:color w:val="1A1A1A"/>
          <w:sz w:val="28"/>
        </w:rPr>
        <w:t xml:space="preserve">По договору ответчик обязался выполнить </w:t>
      </w:r>
      <w:r>
        <w:rPr>
          <w:rFonts w:ascii="Times New Roman" w:hAnsi="Times New Roman" w:eastAsia="Times New Roman"/>
          <w:b w:val="0"/>
          <w:i w:val="0"/>
          <w:color w:val="1A1A1A"/>
          <w:sz w:val="28"/>
        </w:rPr>
        <w:t>[наименование работ]</w:t>
      </w:r>
      <w:r>
        <w:rPr>
          <w:rFonts w:ascii="Times New Roman" w:hAnsi="Times New Roman" w:eastAsia="Times New Roman"/>
          <w:b w:val="0"/>
          <w:i w:val="0"/>
          <w:color w:val="1A1A1A"/>
          <w:sz w:val="28"/>
        </w:rPr>
        <w:t xml:space="preserve"> на объекте </w:t>
      </w:r>
      <w:r>
        <w:rPr>
          <w:rFonts w:ascii="Times New Roman" w:hAnsi="Times New Roman" w:eastAsia="Times New Roman"/>
          <w:b w:val="0"/>
          <w:i w:val="0"/>
          <w:color w:val="1A1A1A"/>
          <w:sz w:val="28"/>
        </w:rPr>
        <w:t>[наименование и адрес объекта]</w:t>
      </w:r>
      <w:r>
        <w:rPr>
          <w:rFonts w:ascii="Times New Roman" w:hAnsi="Times New Roman" w:eastAsia="Times New Roman"/>
          <w:b w:val="0"/>
          <w:i w:val="0"/>
          <w:color w:val="1A1A1A"/>
          <w:sz w:val="28"/>
        </w:rPr>
        <w:t xml:space="preserve">, а истец — принять и оплатить результат. Цена работ —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договора). Конечный срок выполнения работ —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договора и календарный план, приложение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Договор возлагает на заказчика встречные обязанности, без исполнения которых подрядчик не мог выполнить работы:</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Передать подрядчику проектную документацию с положительным заключением экспертизы в срок до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договора).</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Передать строительную площадку по акту в срок до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договора).</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Обеспечить готовность </w:t>
      </w:r>
      <w:r>
        <w:rPr>
          <w:rFonts w:ascii="Times New Roman" w:hAnsi="Times New Roman" w:eastAsia="Times New Roman"/>
          <w:b w:val="0"/>
          <w:i w:val="0"/>
          <w:color w:val="1A1A1A"/>
          <w:sz w:val="28"/>
        </w:rPr>
        <w:t>[наименование инженерных систем, точек подключения]</w:t>
      </w:r>
      <w:r>
        <w:rPr>
          <w:rFonts w:ascii="Times New Roman" w:hAnsi="Times New Roman" w:eastAsia="Times New Roman"/>
          <w:b w:val="0"/>
          <w:i w:val="0"/>
          <w:color w:val="1A1A1A"/>
          <w:sz w:val="28"/>
        </w:rPr>
        <w:t xml:space="preserve"> к технологическому присоединению в срок до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договора).</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Рассматривать и согласовывать рабочую документацию в течение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рабочих дней с даты её представления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договора).</w:t>
      </w:r>
    </w:p>
    <w:p>
      <w:pPr>
        <w:spacing w:before="0" w:after="120" w:line="276" w:lineRule="auto"/>
        <w:ind w:firstLine="709"/>
        <w:jc w:val="both"/>
      </w:pPr>
      <w:r>
        <w:rPr>
          <w:rFonts w:ascii="Times New Roman" w:hAnsi="Times New Roman" w:eastAsia="Times New Roman"/>
          <w:b w:val="0"/>
          <w:i w:val="0"/>
          <w:color w:val="1A1A1A"/>
          <w:sz w:val="28"/>
        </w:rPr>
        <w:t xml:space="preserve">Ни одна из этих обязанностей в срок не исполнена. Проектная документация с положительным заключением экспертизы передана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сопроводительному письму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то есть с просрочкой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 Строительная площадка передана по акту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Готовность </w:t>
      </w:r>
      <w:r>
        <w:rPr>
          <w:rFonts w:ascii="Times New Roman" w:hAnsi="Times New Roman" w:eastAsia="Times New Roman"/>
          <w:b w:val="0"/>
          <w:i w:val="0"/>
          <w:color w:val="1A1A1A"/>
          <w:sz w:val="28"/>
        </w:rPr>
        <w:t>[наименование инженерных систем]</w:t>
      </w:r>
      <w:r>
        <w:rPr>
          <w:rFonts w:ascii="Times New Roman" w:hAnsi="Times New Roman" w:eastAsia="Times New Roman"/>
          <w:b w:val="0"/>
          <w:i w:val="0"/>
          <w:color w:val="1A1A1A"/>
          <w:sz w:val="28"/>
        </w:rPr>
        <w:t xml:space="preserve"> обеспечена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что подтверждается </w:t>
      </w:r>
      <w:r>
        <w:rPr>
          <w:rFonts w:ascii="Times New Roman" w:hAnsi="Times New Roman" w:eastAsia="Times New Roman"/>
          <w:b w:val="0"/>
          <w:i w:val="0"/>
          <w:color w:val="1A1A1A"/>
          <w:sz w:val="28"/>
        </w:rPr>
        <w:t>[наименование документа]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Рабочая документация по разделу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направлена на согласование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письмом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согласована истцом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вместо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О каждом из этих обстоятельств ответчик немедленно предупреждал истца и приостанавливал работы, выполнение которых без исполнения заказчиком встречной обязанности было невозможно: письма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письмах указаны конкретная неисполненная обязанность, вид приостановленных работ и дата приостановления. Работы возобновлялись в день, следующий за днём исполнения истцом соответствующей обязанности: письма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Истец указаний о продолжении работ до исполнения своих обязанностей не давал, предупреждения не оспаривал.</w:t>
      </w:r>
    </w:p>
    <w:p>
      <w:pPr>
        <w:spacing w:before="0" w:after="120" w:line="276" w:lineRule="auto"/>
        <w:ind w:firstLine="709"/>
        <w:jc w:val="both"/>
      </w:pPr>
      <w:r>
        <w:rPr>
          <w:rFonts w:ascii="Times New Roman" w:hAnsi="Times New Roman" w:eastAsia="Times New Roman"/>
          <w:b w:val="0"/>
          <w:i w:val="0"/>
          <w:color w:val="1A1A1A"/>
          <w:sz w:val="28"/>
        </w:rPr>
        <w:t xml:space="preserve">На весь период приостановления ответчик сохранял готовность к исполнению: на объекте находились персонал и техника, что подтверждается общим журналом работ за </w:t>
      </w:r>
      <w:r>
        <w:rPr>
          <w:rFonts w:ascii="Times New Roman" w:hAnsi="Times New Roman" w:eastAsia="Times New Roman"/>
          <w:b w:val="0"/>
          <w:i w:val="0"/>
          <w:color w:val="1A1A1A"/>
          <w:sz w:val="28"/>
        </w:rPr>
        <w:t>[период]</w:t>
      </w:r>
      <w:r>
        <w:rPr>
          <w:rFonts w:ascii="Times New Roman" w:hAnsi="Times New Roman" w:eastAsia="Times New Roman"/>
          <w:b w:val="0"/>
          <w:i w:val="0"/>
          <w:color w:val="1A1A1A"/>
          <w:sz w:val="28"/>
        </w:rPr>
        <w:t xml:space="preserve">, табелями учёта рабочего времени и </w:t>
      </w:r>
      <w:r>
        <w:rPr>
          <w:rFonts w:ascii="Times New Roman" w:hAnsi="Times New Roman" w:eastAsia="Times New Roman"/>
          <w:b w:val="0"/>
          <w:i w:val="0"/>
          <w:color w:val="1A1A1A"/>
          <w:sz w:val="28"/>
        </w:rPr>
        <w:t>[иные доказательства]</w:t>
      </w:r>
      <w:r>
        <w:rPr>
          <w:rFonts w:ascii="Times New Roman" w:hAnsi="Times New Roman" w:eastAsia="Times New Roman"/>
          <w:b w:val="0"/>
          <w:i w:val="0"/>
          <w:color w:val="1A1A1A"/>
          <w:sz w:val="28"/>
        </w:rPr>
        <w:t xml:space="preserve">; материалы и оборудование для приостановленных работ закуплены и поставлены на объект по товарным накладным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работы, не зависевшие от встречного исполнения, в этот период выполнялись и приняты истцом по актам о приёмке выполненных работ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Сдвиг конечного срока выполнения работ на период просрочки заказчика рассчитан в таблице. Периоды, частично совпадающие по времени, учтены однократно.</w:t>
      </w:r>
    </w:p>
    <w:tbl>
      <w:tblPr>
        <w:tblStyle w:val="TableGrid"/>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Layout w:type="fixed"/>
      </w:tblPr>
      <w:tblGrid>
        <w:gridCol w:w="3980"/>
        <w:gridCol w:w="1592"/>
        <w:gridCol w:w="2687"/>
        <w:gridCol w:w="1094"/>
      </w:tblGrid>
      <w:tr>
        <w:trPr>
          <w:cantSplit/>
        </w:trPr>
        <w:tc>
          <w:tcPr>
            <w:tcW w:type="dxa" w:w="3981"/>
          </w:tcPr>
          <w:p>
            <w:pPr>
              <w:keepNext/>
              <w:spacing w:before="0" w:after="20" w:line="240" w:lineRule="auto"/>
              <w:jc w:val="left"/>
            </w:pPr>
            <w:r/>
            <w:r>
              <w:rPr>
                <w:rFonts w:ascii="Times New Roman" w:hAnsi="Times New Roman" w:eastAsia="Times New Roman"/>
                <w:b/>
                <w:i w:val="0"/>
                <w:color w:val="1A1A1A"/>
                <w:sz w:val="24"/>
              </w:rPr>
              <w:t>Обязанность заказчика (пункт договора)</w:t>
            </w:r>
          </w:p>
        </w:tc>
        <w:tc>
          <w:tcPr>
            <w:tcW w:type="dxa" w:w="1592"/>
          </w:tcPr>
          <w:p>
            <w:pPr>
              <w:keepNext/>
              <w:spacing w:before="0" w:after="20" w:line="240" w:lineRule="auto"/>
              <w:jc w:val="left"/>
            </w:pPr>
            <w:r/>
            <w:r>
              <w:rPr>
                <w:rFonts w:ascii="Times New Roman" w:hAnsi="Times New Roman" w:eastAsia="Times New Roman"/>
                <w:b/>
                <w:i w:val="0"/>
                <w:color w:val="1A1A1A"/>
                <w:sz w:val="24"/>
              </w:rPr>
              <w:t>Срок по договору</w:t>
            </w:r>
          </w:p>
        </w:tc>
        <w:tc>
          <w:tcPr>
            <w:tcW w:type="dxa" w:w="2687"/>
          </w:tcPr>
          <w:p>
            <w:pPr>
              <w:keepNext/>
              <w:spacing w:before="0" w:after="20" w:line="240" w:lineRule="auto"/>
              <w:jc w:val="left"/>
            </w:pPr>
            <w:r/>
            <w:r>
              <w:rPr>
                <w:rFonts w:ascii="Times New Roman" w:hAnsi="Times New Roman" w:eastAsia="Times New Roman"/>
                <w:b/>
                <w:i w:val="0"/>
                <w:color w:val="1A1A1A"/>
                <w:sz w:val="24"/>
              </w:rPr>
              <w:t>Фактическая дата исполнения</w:t>
            </w:r>
          </w:p>
        </w:tc>
        <w:tc>
          <w:tcPr>
            <w:tcW w:type="dxa" w:w="1095"/>
          </w:tcPr>
          <w:p>
            <w:pPr>
              <w:keepNext/>
              <w:spacing w:before="0" w:after="20" w:line="240" w:lineRule="auto"/>
              <w:jc w:val="left"/>
            </w:pPr>
            <w:r/>
            <w:r>
              <w:rPr>
                <w:rFonts w:ascii="Times New Roman" w:hAnsi="Times New Roman" w:eastAsia="Times New Roman"/>
                <w:b/>
                <w:i w:val="0"/>
                <w:color w:val="1A1A1A"/>
                <w:sz w:val="24"/>
              </w:rPr>
              <w:t>Дней сдвига</w:t>
            </w:r>
          </w:p>
        </w:tc>
      </w:tr>
      <w:tr>
        <w:trPr>
          <w:cantSplit/>
        </w:trPr>
        <w:tc>
          <w:tcPr>
            <w:tcW w:type="dxa" w:w="3981"/>
          </w:tcPr>
          <w:p>
            <w:pPr>
              <w:keepNext/>
              <w:spacing w:before="0" w:after="20" w:line="240" w:lineRule="auto"/>
              <w:jc w:val="left"/>
            </w:pPr>
            <w:r/>
            <w:r>
              <w:rPr>
                <w:rFonts w:ascii="Times New Roman" w:hAnsi="Times New Roman" w:eastAsia="Times New Roman"/>
                <w:b w:val="0"/>
                <w:i w:val="0"/>
                <w:color w:val="1A1A1A"/>
                <w:sz w:val="24"/>
              </w:rPr>
              <w:t xml:space="preserve">Передача проектной документации с заключением экспертизы (п.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w:t>
            </w:r>
          </w:p>
        </w:tc>
        <w:tc>
          <w:tcPr>
            <w:tcW w:type="dxa" w:w="1592"/>
          </w:tcPr>
          <w:p>
            <w:pPr>
              <w:keepNext/>
              <w:spacing w:before="0" w:after="20" w:line="240" w:lineRule="auto"/>
              <w:jc w:val="left"/>
            </w:pPr>
            <w:r/>
            <w:r>
              <w:rPr>
                <w:rFonts w:ascii="Times New Roman" w:hAnsi="Times New Roman" w:eastAsia="Times New Roman"/>
                <w:b w:val="0"/>
                <w:i w:val="0"/>
                <w:color w:val="1A1A1A"/>
                <w:sz w:val="24"/>
              </w:rPr>
              <w:t>[дата]</w:t>
            </w:r>
          </w:p>
        </w:tc>
        <w:tc>
          <w:tcPr>
            <w:tcW w:type="dxa" w:w="2687"/>
          </w:tcPr>
          <w:p>
            <w:pPr>
              <w:keepNext/>
              <w:spacing w:before="0" w:after="20" w:line="240" w:lineRule="auto"/>
              <w:jc w:val="left"/>
            </w:pPr>
            <w:r/>
            <w:r>
              <w:rPr>
                <w:rFonts w:ascii="Times New Roman" w:hAnsi="Times New Roman" w:eastAsia="Times New Roman"/>
                <w:b w:val="0"/>
                <w:i w:val="0"/>
                <w:color w:val="1A1A1A"/>
                <w:sz w:val="24"/>
              </w:rPr>
              <w:t>[дата]</w:t>
            </w:r>
          </w:p>
        </w:tc>
        <w:tc>
          <w:tcPr>
            <w:tcW w:type="dxa" w:w="1095"/>
          </w:tcPr>
          <w:p>
            <w:pPr>
              <w:keepNext/>
              <w:spacing w:before="0" w:after="20" w:line="240" w:lineRule="auto"/>
              <w:jc w:val="left"/>
            </w:pPr>
            <w:r/>
            <w:r>
              <w:rPr>
                <w:rFonts w:ascii="Times New Roman" w:hAnsi="Times New Roman" w:eastAsia="Times New Roman"/>
                <w:b w:val="0"/>
                <w:i w:val="0"/>
                <w:color w:val="1A1A1A"/>
                <w:sz w:val="24"/>
              </w:rPr>
              <w:t>[дни]</w:t>
            </w:r>
          </w:p>
        </w:tc>
      </w:tr>
      <w:tr>
        <w:trPr>
          <w:cantSplit/>
        </w:trPr>
        <w:tc>
          <w:tcPr>
            <w:tcW w:type="dxa" w:w="3981"/>
          </w:tcPr>
          <w:p>
            <w:pPr>
              <w:keepNext/>
              <w:spacing w:before="0" w:after="20" w:line="240" w:lineRule="auto"/>
              <w:jc w:val="left"/>
            </w:pPr>
            <w:r/>
            <w:r>
              <w:rPr>
                <w:rFonts w:ascii="Times New Roman" w:hAnsi="Times New Roman" w:eastAsia="Times New Roman"/>
                <w:b w:val="0"/>
                <w:i w:val="0"/>
                <w:color w:val="1A1A1A"/>
                <w:sz w:val="24"/>
              </w:rPr>
              <w:t xml:space="preserve">Передача строительной площадки (п.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w:t>
            </w:r>
          </w:p>
        </w:tc>
        <w:tc>
          <w:tcPr>
            <w:tcW w:type="dxa" w:w="1592"/>
          </w:tcPr>
          <w:p>
            <w:pPr>
              <w:keepNext/>
              <w:spacing w:before="0" w:after="20" w:line="240" w:lineRule="auto"/>
              <w:jc w:val="left"/>
            </w:pPr>
            <w:r/>
            <w:r>
              <w:rPr>
                <w:rFonts w:ascii="Times New Roman" w:hAnsi="Times New Roman" w:eastAsia="Times New Roman"/>
                <w:b w:val="0"/>
                <w:i w:val="0"/>
                <w:color w:val="1A1A1A"/>
                <w:sz w:val="24"/>
              </w:rPr>
              <w:t>[дата]</w:t>
            </w:r>
          </w:p>
        </w:tc>
        <w:tc>
          <w:tcPr>
            <w:tcW w:type="dxa" w:w="2687"/>
          </w:tcPr>
          <w:p>
            <w:pPr>
              <w:keepNext/>
              <w:spacing w:before="0" w:after="20" w:line="240" w:lineRule="auto"/>
              <w:jc w:val="left"/>
            </w:pPr>
            <w:r/>
            <w:r>
              <w:rPr>
                <w:rFonts w:ascii="Times New Roman" w:hAnsi="Times New Roman" w:eastAsia="Times New Roman"/>
                <w:b w:val="0"/>
                <w:i w:val="0"/>
                <w:color w:val="1A1A1A"/>
                <w:sz w:val="24"/>
              </w:rPr>
              <w:t>[дата]</w:t>
            </w:r>
          </w:p>
        </w:tc>
        <w:tc>
          <w:tcPr>
            <w:tcW w:type="dxa" w:w="1095"/>
          </w:tcPr>
          <w:p>
            <w:pPr>
              <w:keepNext/>
              <w:spacing w:before="0" w:after="20" w:line="240" w:lineRule="auto"/>
              <w:jc w:val="left"/>
            </w:pPr>
            <w:r/>
            <w:r>
              <w:rPr>
                <w:rFonts w:ascii="Times New Roman" w:hAnsi="Times New Roman" w:eastAsia="Times New Roman"/>
                <w:b w:val="0"/>
                <w:i w:val="0"/>
                <w:color w:val="1A1A1A"/>
                <w:sz w:val="24"/>
              </w:rPr>
              <w:t>[дни]</w:t>
            </w:r>
          </w:p>
        </w:tc>
      </w:tr>
      <w:tr>
        <w:trPr>
          <w:cantSplit/>
        </w:trPr>
        <w:tc>
          <w:tcPr>
            <w:tcW w:type="dxa" w:w="3981"/>
          </w:tcPr>
          <w:p>
            <w:pPr>
              <w:keepNext/>
              <w:spacing w:before="0" w:after="20" w:line="240" w:lineRule="auto"/>
              <w:jc w:val="left"/>
            </w:pPr>
            <w:r/>
            <w:r>
              <w:rPr>
                <w:rFonts w:ascii="Times New Roman" w:hAnsi="Times New Roman" w:eastAsia="Times New Roman"/>
                <w:b w:val="0"/>
                <w:i w:val="0"/>
                <w:color w:val="1A1A1A"/>
                <w:sz w:val="24"/>
              </w:rPr>
              <w:t xml:space="preserve">Готовность </w:t>
            </w:r>
            <w:r>
              <w:rPr>
                <w:rFonts w:ascii="Times New Roman" w:hAnsi="Times New Roman" w:eastAsia="Times New Roman"/>
                <w:b w:val="0"/>
                <w:i w:val="0"/>
                <w:color w:val="1A1A1A"/>
                <w:sz w:val="24"/>
              </w:rPr>
              <w:t>[инженерных систем]</w:t>
            </w:r>
            <w:r>
              <w:rPr>
                <w:rFonts w:ascii="Times New Roman" w:hAnsi="Times New Roman" w:eastAsia="Times New Roman"/>
                <w:b w:val="0"/>
                <w:i w:val="0"/>
                <w:color w:val="1A1A1A"/>
                <w:sz w:val="24"/>
              </w:rPr>
              <w:t xml:space="preserve"> к присоединению (п.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w:t>
            </w:r>
          </w:p>
        </w:tc>
        <w:tc>
          <w:tcPr>
            <w:tcW w:type="dxa" w:w="1592"/>
          </w:tcPr>
          <w:p>
            <w:pPr>
              <w:keepNext/>
              <w:spacing w:before="0" w:after="20" w:line="240" w:lineRule="auto"/>
              <w:jc w:val="left"/>
            </w:pPr>
            <w:r/>
            <w:r>
              <w:rPr>
                <w:rFonts w:ascii="Times New Roman" w:hAnsi="Times New Roman" w:eastAsia="Times New Roman"/>
                <w:b w:val="0"/>
                <w:i w:val="0"/>
                <w:color w:val="1A1A1A"/>
                <w:sz w:val="24"/>
              </w:rPr>
              <w:t>[дата]</w:t>
            </w:r>
          </w:p>
        </w:tc>
        <w:tc>
          <w:tcPr>
            <w:tcW w:type="dxa" w:w="2687"/>
          </w:tcPr>
          <w:p>
            <w:pPr>
              <w:keepNext/>
              <w:spacing w:before="0" w:after="20" w:line="240" w:lineRule="auto"/>
              <w:jc w:val="left"/>
            </w:pPr>
            <w:r/>
            <w:r>
              <w:rPr>
                <w:rFonts w:ascii="Times New Roman" w:hAnsi="Times New Roman" w:eastAsia="Times New Roman"/>
                <w:b w:val="0"/>
                <w:i w:val="0"/>
                <w:color w:val="1A1A1A"/>
                <w:sz w:val="24"/>
              </w:rPr>
              <w:t>[дата]</w:t>
            </w:r>
          </w:p>
        </w:tc>
        <w:tc>
          <w:tcPr>
            <w:tcW w:type="dxa" w:w="1095"/>
          </w:tcPr>
          <w:p>
            <w:pPr>
              <w:keepNext/>
              <w:spacing w:before="0" w:after="20" w:line="240" w:lineRule="auto"/>
              <w:jc w:val="left"/>
            </w:pPr>
            <w:r/>
            <w:r>
              <w:rPr>
                <w:rFonts w:ascii="Times New Roman" w:hAnsi="Times New Roman" w:eastAsia="Times New Roman"/>
                <w:b w:val="0"/>
                <w:i w:val="0"/>
                <w:color w:val="1A1A1A"/>
                <w:sz w:val="24"/>
              </w:rPr>
              <w:t>[дни]</w:t>
            </w:r>
          </w:p>
        </w:tc>
      </w:tr>
      <w:tr>
        <w:trPr>
          <w:cantSplit/>
        </w:trPr>
        <w:tc>
          <w:tcPr>
            <w:tcW w:type="dxa" w:w="3981"/>
          </w:tcPr>
          <w:p>
            <w:pPr>
              <w:keepNext/>
              <w:spacing w:before="0" w:after="20" w:line="240" w:lineRule="auto"/>
              <w:jc w:val="left"/>
            </w:pPr>
            <w:r/>
            <w:r>
              <w:rPr>
                <w:rFonts w:ascii="Times New Roman" w:hAnsi="Times New Roman" w:eastAsia="Times New Roman"/>
                <w:b w:val="0"/>
                <w:i w:val="0"/>
                <w:color w:val="1A1A1A"/>
                <w:sz w:val="24"/>
              </w:rPr>
              <w:t xml:space="preserve">Согласование рабочей документации по разделу </w:t>
            </w:r>
            <w:r>
              <w:rPr>
                <w:rFonts w:ascii="Times New Roman" w:hAnsi="Times New Roman" w:eastAsia="Times New Roman"/>
                <w:b w:val="0"/>
                <w:i w:val="0"/>
                <w:color w:val="1A1A1A"/>
                <w:sz w:val="24"/>
              </w:rPr>
              <w:t>[наименование]</w:t>
            </w:r>
            <w:r>
              <w:rPr>
                <w:rFonts w:ascii="Times New Roman" w:hAnsi="Times New Roman" w:eastAsia="Times New Roman"/>
                <w:b w:val="0"/>
                <w:i w:val="0"/>
                <w:color w:val="1A1A1A"/>
                <w:sz w:val="24"/>
              </w:rPr>
              <w:t xml:space="preserve"> (п.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w:t>
            </w:r>
          </w:p>
        </w:tc>
        <w:tc>
          <w:tcPr>
            <w:tcW w:type="dxa" w:w="1592"/>
          </w:tcPr>
          <w:p>
            <w:pPr>
              <w:keepNext/>
              <w:spacing w:before="0" w:after="20" w:line="240" w:lineRule="auto"/>
              <w:jc w:val="left"/>
            </w:pPr>
            <w:r/>
            <w:r>
              <w:rPr>
                <w:rFonts w:ascii="Times New Roman" w:hAnsi="Times New Roman" w:eastAsia="Times New Roman"/>
                <w:b w:val="0"/>
                <w:i w:val="0"/>
                <w:color w:val="1A1A1A"/>
                <w:sz w:val="24"/>
              </w:rPr>
              <w:t>[дата]</w:t>
            </w:r>
          </w:p>
        </w:tc>
        <w:tc>
          <w:tcPr>
            <w:tcW w:type="dxa" w:w="2687"/>
          </w:tcPr>
          <w:p>
            <w:pPr>
              <w:keepNext/>
              <w:spacing w:before="0" w:after="20" w:line="240" w:lineRule="auto"/>
              <w:jc w:val="left"/>
            </w:pPr>
            <w:r/>
            <w:r>
              <w:rPr>
                <w:rFonts w:ascii="Times New Roman" w:hAnsi="Times New Roman" w:eastAsia="Times New Roman"/>
                <w:b w:val="0"/>
                <w:i w:val="0"/>
                <w:color w:val="1A1A1A"/>
                <w:sz w:val="24"/>
              </w:rPr>
              <w:t>[дата]</w:t>
            </w:r>
          </w:p>
        </w:tc>
        <w:tc>
          <w:tcPr>
            <w:tcW w:type="dxa" w:w="1095"/>
          </w:tcPr>
          <w:p>
            <w:pPr>
              <w:keepNext/>
              <w:spacing w:before="0" w:after="20" w:line="240" w:lineRule="auto"/>
              <w:jc w:val="left"/>
            </w:pPr>
            <w:r/>
            <w:r>
              <w:rPr>
                <w:rFonts w:ascii="Times New Roman" w:hAnsi="Times New Roman" w:eastAsia="Times New Roman"/>
                <w:b w:val="0"/>
                <w:i w:val="0"/>
                <w:color w:val="1A1A1A"/>
                <w:sz w:val="24"/>
              </w:rPr>
              <w:t>[дни]</w:t>
            </w:r>
          </w:p>
        </w:tc>
      </w:tr>
      <w:tr>
        <w:trPr>
          <w:cantSplit/>
        </w:trPr>
        <w:tc>
          <w:tcPr>
            <w:tcW w:type="dxa" w:w="3981"/>
          </w:tcPr>
          <w:p>
            <w:pPr>
              <w:spacing w:before="0" w:after="20" w:line="240" w:lineRule="auto"/>
              <w:jc w:val="left"/>
            </w:pPr>
            <w:r/>
            <w:r>
              <w:rPr>
                <w:rFonts w:ascii="Times New Roman" w:hAnsi="Times New Roman" w:eastAsia="Times New Roman"/>
                <w:b/>
                <w:i w:val="0"/>
                <w:color w:val="1A1A1A"/>
                <w:sz w:val="24"/>
              </w:rPr>
              <w:t>Итого без учёта пересечений периодов</w:t>
            </w:r>
          </w:p>
        </w:tc>
        <w:tc>
          <w:tcPr>
            <w:tcW w:type="dxa" w:w="1592"/>
          </w:tcPr>
          <w:p>
            <w:pPr>
              <w:spacing w:before="0" w:after="20" w:line="240" w:lineRule="auto"/>
              <w:jc w:val="left"/>
            </w:pPr>
            <w:r/>
          </w:p>
        </w:tc>
        <w:tc>
          <w:tcPr>
            <w:tcW w:type="dxa" w:w="2687"/>
          </w:tcPr>
          <w:p>
            <w:pPr>
              <w:spacing w:before="0" w:after="20" w:line="240" w:lineRule="auto"/>
              <w:jc w:val="left"/>
            </w:pPr>
            <w:r/>
          </w:p>
        </w:tc>
        <w:tc>
          <w:tcPr>
            <w:tcW w:type="dxa" w:w="1095"/>
          </w:tcPr>
          <w:p>
            <w:pPr>
              <w:spacing w:before="0" w:after="20" w:line="240" w:lineRule="auto"/>
              <w:jc w:val="left"/>
            </w:pPr>
            <w:r/>
            <w:r>
              <w:rPr>
                <w:rFonts w:ascii="Times New Roman" w:hAnsi="Times New Roman" w:eastAsia="Times New Roman"/>
                <w:b/>
                <w:i w:val="0"/>
                <w:color w:val="1A1A1A"/>
                <w:sz w:val="24"/>
              </w:rPr>
              <w:t>[дни]</w:t>
            </w:r>
          </w:p>
        </w:tc>
      </w:tr>
    </w:tbl>
    <w:p>
      <w:pPr>
        <w:spacing w:before="0" w:after="80" w:line="276" w:lineRule="auto"/>
        <w:jc w:val="both"/>
      </w:pPr>
    </w:p>
    <w:p>
      <w:pPr>
        <w:spacing w:before="0" w:after="120" w:line="276" w:lineRule="auto"/>
        <w:ind w:firstLine="709"/>
        <w:jc w:val="both"/>
      </w:pPr>
      <w:r>
        <w:rPr>
          <w:rFonts w:ascii="Times New Roman" w:hAnsi="Times New Roman" w:eastAsia="Times New Roman"/>
          <w:b w:val="0"/>
          <w:i w:val="0"/>
          <w:color w:val="1A1A1A"/>
          <w:sz w:val="28"/>
        </w:rPr>
        <w:t xml:space="preserve">С учётом сдвига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 конечный срок выполнения работ —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Работы завершены и сданы истцу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(акты о приёмке выполненных работ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акт приёмки законченного строительством объекта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то есть до наступления этого срока. Просрочки подрядчика нет.</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Неустойкой признаётся определённая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 1 ст. 330 ГК РФ). Кредитор не вправе требовать уплаты неустойки, если должник не несёт ответственности за неисполнение или ненадлежащее исполнение обязательства (п. 2 ст. 330 ГК РФ).</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Должник не считается просрочившим, пока обязательство не может быть исполнено вследствие просрочки кредитора (п. 3 ст. 405 ГК РФ). Кредитор считается просрочившим, если он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(абз. 1 п. 1 ст. 406 ГК РФ). Передача проектной документации, площадки, обеспечение готовности инженерных систем и согласование рабочей документации — действия, предусмотренные п. </w:t>
      </w:r>
      <w:r>
        <w:rPr>
          <w:rFonts w:ascii="Times New Roman" w:hAnsi="Times New Roman" w:eastAsia="Times New Roman"/>
          <w:b w:val="0"/>
          <w:i w:val="0"/>
          <w:color w:val="1A1A1A"/>
          <w:sz w:val="28"/>
        </w:rPr>
        <w:t>[номера]</w:t>
      </w:r>
      <w:r>
        <w:rPr>
          <w:rFonts w:ascii="Times New Roman" w:hAnsi="Times New Roman" w:eastAsia="Times New Roman"/>
          <w:b w:val="0"/>
          <w:i w:val="0"/>
          <w:color w:val="1A1A1A"/>
          <w:sz w:val="28"/>
        </w:rPr>
        <w:t xml:space="preserve"> договора, без которых выполнение работ было невозможно. Истец их в срок не совершил.</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Встречным признаётся исполнение обязательства одной из сторон, которое обусловлено исполнением другой стороной своих обязательств (п. 1 ст. 328 ГК РФ). Подрядчик вправе не приступать к работе, а начатую работу приостановить, когда нарушение заказчиком своих обязанностей, в частности непредоставление материала, оборудования, технической документации, препятствует исполнению договора подрядчиком (п. 1 ст. 719 ГК РФ). При неисполнении заказчиком обязанности по содействию подрядчик вправе требовать перенесения сроков исполнения работы (абз. 2 п. 1 ст. 718 ГК РФ). Ответчик этим правом воспользовался: работы приостанавливались письмами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Требование п. 1 ст. 716 ГК РФ ответчиком выполнено. Подрядчик обязан немедленно предупредить заказчика и до получения от него указаний приостановить работу при обнаружении не зависящих от подрядчика обстоятельств, которые создают невозможность завершения работы в срок. Последствие, предусмотренное п. 2 ст. 716 ГК РФ (запрет ссылаться на такие обстоятельства), к ответчику не применяется: каждое предупреждение направлено в день обнаружения обстоятельства, работы приостановлены, указаний продолжить работу истец не давал.</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Абзац третий п. 1 ст. 406 ГК РФ к спору не применим: кредитор не считается просрочившим, если должник был не в состоянии исполнить обязательство. Ответчик был в состоянии исполнить обязательство в течение всего периода просрочки истца: персонал, техника, материалы и оборудование находились на объекте, работы, не зависевшие от встречного исполнения, выполнялись и приняты истцом (журнал работ, табели, товарные накладные, акты о приёмке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Судебная коллегия по экономическим спорам Верховного Суда РФ в определении от 22.08.2024 № 305-ЭС24-6469 по делу № А40-101225/2023 указала: «Если работы не могли быть выполнены в срок по вине кредитора (заказчика), судам следовало полностью освободить должника (подрядчика) от ответственности на все время просрочки кредитора на основании статей 401, 405, и 406 ГК РФ, а не снижать размер неустойки по правилам статьи 333 ГК РФ». Коллегия также указала, что при рассмотрении иска о взыскании неустойки суд устанавливает периоды просрочки заказчика и сроки, которые продлевают выполнение работ подрядчиком на соответствующий период, а снижение неустойки по ст. 333 ГК РФ «не может нивелировать отсутствие оснований для ее начисления исходя из положений статей 405, 406 ГК РФ».</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Расчёт истца не соответствует договору. Истец начислил неустойку от общей цены договора —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тогда как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договора предусматривает неустойку за нарушение срока выполнения вида работ в размере </w:t>
      </w:r>
      <w:r>
        <w:rPr>
          <w:rFonts w:ascii="Times New Roman" w:hAnsi="Times New Roman" w:eastAsia="Times New Roman"/>
          <w:b w:val="0"/>
          <w:i w:val="0"/>
          <w:color w:val="1A1A1A"/>
          <w:sz w:val="28"/>
        </w:rPr>
        <w:t>[размер]</w:t>
      </w:r>
      <w:r>
        <w:rPr>
          <w:rFonts w:ascii="Times New Roman" w:hAnsi="Times New Roman" w:eastAsia="Times New Roman"/>
          <w:b w:val="0"/>
          <w:i w:val="0"/>
          <w:color w:val="1A1A1A"/>
          <w:sz w:val="28"/>
        </w:rPr>
        <w:t xml:space="preserve"> % от цены этого вида работ. Условие об ответственности должно быть чётко выражено в договоре с указанием размера и вида санкций, порядка их определения и оснований для применения; условие, касающееся юридической ответственности, не должно допускать двоякого толкования, а спорное условие толкуется в пользу лица, привлекаемого к ответственности (определение Судебной коллегии по экономическим спорам Верховного Суда РФ от 09.07.2020 № 305-ЭС20-5261 по делу № А41-10938/2019).</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Обстоятельства, на которые истец ссылается в обоснование просрочки подрядчика, ответчик прямо оспаривает (ч. 3.1 ст. 70 АПК РФ). Каждое лицо, участвующее в деле, должно доказать обстоятельства, на которые оно ссылается как на основание своих требований и возражений (ч. 1 ст. 65 АПК РФ). Доказательства просрочки истца и готовности ответчика к исполнению приложены к отзыву.</w:t>
      </w:r>
    </w:p>
    <w:p>
      <w:pPr>
        <w:spacing w:before="0" w:after="120" w:line="276" w:lineRule="auto"/>
        <w:ind w:left="360" w:hanging="360"/>
        <w:jc w:val="both"/>
      </w:pPr>
      <w:r>
        <w:rPr>
          <w:rFonts w:ascii="Times New Roman" w:hAnsi="Times New Roman" w:eastAsia="Times New Roman"/>
          <w:color w:val="1A1A1A"/>
          <w:sz w:val="28"/>
        </w:rPr>
        <w:t xml:space="preserve">9. </w:t>
      </w:r>
      <w:r>
        <w:rPr>
          <w:rFonts w:ascii="Times New Roman" w:hAnsi="Times New Roman" w:eastAsia="Times New Roman"/>
          <w:b w:val="0"/>
          <w:i w:val="0"/>
          <w:color w:val="1A1A1A"/>
          <w:sz w:val="28"/>
        </w:rPr>
        <w:t>На случай, если суд придёт к выводу о наличии просрочки подрядчика за какой-либо период за пределами сдвига срока, ответчик заявляет о применении п. 1 ст. 404 ГК РФ: неисполнение обязательства в срок произошло по вине обеих сторон, поэтому размер ответственности должника подлежит уменьшению. Уменьшение по ст. 404 ГК РФ не исключает последующего применения ст. 333 ГК РФ (п. 81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 7).</w:t>
      </w:r>
    </w:p>
    <w:p>
      <w:pPr>
        <w:spacing w:before="0" w:after="120" w:line="276" w:lineRule="auto"/>
        <w:ind w:left="360" w:hanging="360"/>
        <w:jc w:val="both"/>
      </w:pPr>
      <w:r>
        <w:rPr>
          <w:rFonts w:ascii="Times New Roman" w:hAnsi="Times New Roman" w:eastAsia="Times New Roman"/>
          <w:color w:val="1A1A1A"/>
          <w:sz w:val="28"/>
        </w:rPr>
        <w:t xml:space="preserve">10. </w:t>
      </w:r>
      <w:r>
        <w:rPr>
          <w:rFonts w:ascii="Times New Roman" w:hAnsi="Times New Roman" w:eastAsia="Times New Roman"/>
          <w:b w:val="0"/>
          <w:i w:val="0"/>
          <w:color w:val="1A1A1A"/>
          <w:sz w:val="28"/>
        </w:rPr>
        <w:t xml:space="preserve">В том же случае ответчик заявляет об уменьшении неустойки по п. 1 и 2 ст. 333 ГК РФ (п. 71, 73, 77 Постановления № 7). Неустойка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составляет </w:t>
      </w:r>
      <w:r>
        <w:rPr>
          <w:rFonts w:ascii="Times New Roman" w:hAnsi="Times New Roman" w:eastAsia="Times New Roman"/>
          <w:b w:val="0"/>
          <w:i w:val="0"/>
          <w:color w:val="1A1A1A"/>
          <w:sz w:val="28"/>
        </w:rPr>
        <w:t>[процент]</w:t>
      </w:r>
      <w:r>
        <w:rPr>
          <w:rFonts w:ascii="Times New Roman" w:hAnsi="Times New Roman" w:eastAsia="Times New Roman"/>
          <w:b w:val="0"/>
          <w:i w:val="0"/>
          <w:color w:val="1A1A1A"/>
          <w:sz w:val="28"/>
        </w:rPr>
        <w:t xml:space="preserve"> % цены договора и явно несоразмерна последствиям нарушения: объект введён в эксплуатацию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 расходах, вызванных переносом срока, истец не заявлял, а взыскание неустойки в заявленном размере приведёт к получению истцом необоснованной выгоды. Возможный размер убытков истца, рассчитанный по данным о среднем размере платы по краткосрочным кредитам на пополнение оборотных средств в месте нахождения истца за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(абз. 2 п. 75 Постановления № 7), составляет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(расчёт приложен).</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328, 330, 333, 404–406, 716, 718, 719 ГК РФ, ст. 65, 70, 131 АПК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В удовлетворении исковых требований </w:t>
      </w:r>
      <w:r>
        <w:rPr>
          <w:rFonts w:ascii="Times New Roman" w:hAnsi="Times New Roman" w:eastAsia="Times New Roman"/>
          <w:b w:val="0"/>
          <w:i w:val="0"/>
          <w:color w:val="1A1A1A"/>
          <w:sz w:val="28"/>
        </w:rPr>
        <w:t>[полное наименование заказчика]</w:t>
      </w:r>
      <w:r>
        <w:rPr>
          <w:rFonts w:ascii="Times New Roman" w:hAnsi="Times New Roman" w:eastAsia="Times New Roman"/>
          <w:b w:val="0"/>
          <w:i w:val="0"/>
          <w:color w:val="1A1A1A"/>
          <w:sz w:val="28"/>
        </w:rPr>
        <w:t xml:space="preserve"> к ООО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о взыскании неустойки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отказать полностью.</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В случае признания судом наличия оснований для взыскания неустойки за какой-либо период уменьшить её размер на основании п. 1 ст. 404 и ст. 333 ГК РФ до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Документы, подтверждающие направление копии отзыва и приложенных к нему документов истцу.</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Доверенность представителя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копия документа о высшем юридическом образовании или статусе адвоката.</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Копия договора подряда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с календарным планом и дополнительными соглашениями.</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Копии писем ответчика с запросами документации и предупреждениями о приостановлении работ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с доказательствами их вручения истцу.</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Копии писем ответчика о возобновлении работ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Копии сопроводительных писем и актов, подтверждающих фактические даты передачи проектной документации, строительной площадки, обеспечения готовности инженерных систем, согласования рабочей документации.</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Копия общего журнала работ за </w:t>
      </w:r>
      <w:r>
        <w:rPr>
          <w:rFonts w:ascii="Times New Roman" w:hAnsi="Times New Roman" w:eastAsia="Times New Roman"/>
          <w:b w:val="0"/>
          <w:i w:val="0"/>
          <w:color w:val="1A1A1A"/>
          <w:sz w:val="28"/>
        </w:rPr>
        <w:t>[период]</w:t>
      </w:r>
      <w:r>
        <w:rPr>
          <w:rFonts w:ascii="Times New Roman" w:hAnsi="Times New Roman" w:eastAsia="Times New Roman"/>
          <w:b w:val="0"/>
          <w:i w:val="0"/>
          <w:color w:val="1A1A1A"/>
          <w:sz w:val="28"/>
        </w:rPr>
        <w:t xml:space="preserve">, табели учёта рабочего времени за </w:t>
      </w:r>
      <w:r>
        <w:rPr>
          <w:rFonts w:ascii="Times New Roman" w:hAnsi="Times New Roman" w:eastAsia="Times New Roman"/>
          <w:b w:val="0"/>
          <w:i w:val="0"/>
          <w:color w:val="1A1A1A"/>
          <w:sz w:val="28"/>
        </w:rPr>
        <w:t>[период]</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 xml:space="preserve">Копии товарных накладных на материалы и оборудование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9. </w:t>
      </w:r>
      <w:r>
        <w:rPr>
          <w:rFonts w:ascii="Times New Roman" w:hAnsi="Times New Roman" w:eastAsia="Times New Roman"/>
          <w:b w:val="0"/>
          <w:i w:val="0"/>
          <w:color w:val="1A1A1A"/>
          <w:sz w:val="28"/>
        </w:rPr>
        <w:t xml:space="preserve">Копии актов о приёмке выполненных работ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акта приёмки законченного строительством объекта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10. </w:t>
      </w:r>
      <w:r>
        <w:rPr>
          <w:rFonts w:ascii="Times New Roman" w:hAnsi="Times New Roman" w:eastAsia="Times New Roman"/>
          <w:b w:val="0"/>
          <w:i w:val="0"/>
          <w:color w:val="1A1A1A"/>
          <w:sz w:val="28"/>
        </w:rPr>
        <w:t>Расчёт сдвига срока выполнения работ на период просрочки заказчика.</w:t>
      </w:r>
    </w:p>
    <w:p>
      <w:pPr>
        <w:spacing w:before="0" w:after="120" w:line="276" w:lineRule="auto"/>
        <w:ind w:left="360" w:hanging="360"/>
        <w:jc w:val="both"/>
      </w:pPr>
      <w:r>
        <w:rPr>
          <w:rFonts w:ascii="Times New Roman" w:hAnsi="Times New Roman" w:eastAsia="Times New Roman"/>
          <w:color w:val="1A1A1A"/>
          <w:sz w:val="28"/>
        </w:rPr>
        <w:t xml:space="preserve">11. </w:t>
      </w:r>
      <w:r>
        <w:rPr>
          <w:rFonts w:ascii="Times New Roman" w:hAnsi="Times New Roman" w:eastAsia="Times New Roman"/>
          <w:b w:val="0"/>
          <w:i w:val="0"/>
          <w:color w:val="1A1A1A"/>
          <w:sz w:val="28"/>
        </w:rPr>
        <w:t>Контррасчёт неустойки и расчёт возможных убытков истца.</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Отзыв на исковое заявление о взыскании неустойки по договору подряда</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